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D1" w:rsidRDefault="00733954" w:rsidP="00CE38D1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E38D1">
        <w:rPr>
          <w:rFonts w:asciiTheme="majorHAnsi" w:hAnsiTheme="majorHAnsi"/>
          <w:b/>
          <w:sz w:val="22"/>
          <w:szCs w:val="22"/>
        </w:rPr>
        <w:t xml:space="preserve">Summary </w:t>
      </w:r>
      <w:r w:rsidR="00CE38D1" w:rsidRPr="00CE38D1">
        <w:rPr>
          <w:rFonts w:asciiTheme="majorHAnsi" w:hAnsiTheme="majorHAnsi"/>
          <w:b/>
          <w:sz w:val="22"/>
          <w:szCs w:val="22"/>
        </w:rPr>
        <w:t>overview of</w:t>
      </w:r>
      <w:r w:rsidRPr="00CE38D1">
        <w:rPr>
          <w:rFonts w:asciiTheme="majorHAnsi" w:hAnsiTheme="majorHAnsi"/>
          <w:b/>
          <w:sz w:val="22"/>
          <w:szCs w:val="22"/>
        </w:rPr>
        <w:t xml:space="preserve"> the Clinical Trials Regulation</w:t>
      </w:r>
      <w:r w:rsidR="0091591E" w:rsidRPr="00CE38D1">
        <w:rPr>
          <w:rFonts w:asciiTheme="majorHAnsi" w:hAnsiTheme="majorHAnsi"/>
          <w:b/>
          <w:sz w:val="22"/>
          <w:szCs w:val="22"/>
        </w:rPr>
        <w:t xml:space="preserve"> (EU) 536/2014</w:t>
      </w:r>
      <w:r w:rsidR="00CE38D1">
        <w:rPr>
          <w:rFonts w:asciiTheme="majorHAnsi" w:hAnsiTheme="majorHAnsi"/>
          <w:b/>
          <w:sz w:val="22"/>
          <w:szCs w:val="22"/>
        </w:rPr>
        <w:t xml:space="preserve"> </w:t>
      </w:r>
    </w:p>
    <w:p w:rsidR="00733954" w:rsidRPr="00CE38D1" w:rsidRDefault="00733954" w:rsidP="00CE38D1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E38D1">
        <w:rPr>
          <w:rFonts w:asciiTheme="majorHAnsi" w:hAnsiTheme="majorHAnsi"/>
          <w:b/>
          <w:sz w:val="22"/>
          <w:szCs w:val="22"/>
        </w:rPr>
        <w:t xml:space="preserve">Implications and opportunities for </w:t>
      </w:r>
      <w:r w:rsidR="000D7436">
        <w:rPr>
          <w:rFonts w:asciiTheme="majorHAnsi" w:hAnsiTheme="majorHAnsi"/>
          <w:b/>
          <w:sz w:val="22"/>
          <w:szCs w:val="22"/>
        </w:rPr>
        <w:t xml:space="preserve">PREPARE and </w:t>
      </w:r>
      <w:r w:rsidRPr="00CE38D1">
        <w:rPr>
          <w:rFonts w:asciiTheme="majorHAnsi" w:hAnsiTheme="majorHAnsi"/>
          <w:b/>
          <w:sz w:val="22"/>
          <w:szCs w:val="22"/>
        </w:rPr>
        <w:t>pandemic clinical research</w:t>
      </w:r>
    </w:p>
    <w:p w:rsidR="00CE38D1" w:rsidRDefault="00CE38D1" w:rsidP="00CE38D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E38D1" w:rsidRPr="002C0B2B" w:rsidRDefault="00CE38D1" w:rsidP="00BA44A0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2C0B2B">
        <w:rPr>
          <w:rFonts w:asciiTheme="majorHAnsi" w:hAnsiTheme="majorHAnsi"/>
          <w:b/>
          <w:sz w:val="20"/>
          <w:szCs w:val="20"/>
        </w:rPr>
        <w:t>What is the Clinical Trials Regulation (EU) 536/2014?</w:t>
      </w:r>
    </w:p>
    <w:p w:rsidR="00D217C1" w:rsidRPr="002C0B2B" w:rsidRDefault="0091591E" w:rsidP="00BA44A0">
      <w:pPr>
        <w:spacing w:line="276" w:lineRule="auto"/>
        <w:rPr>
          <w:rFonts w:asciiTheme="majorHAnsi" w:hAnsiTheme="majorHAnsi"/>
          <w:sz w:val="20"/>
          <w:szCs w:val="20"/>
        </w:rPr>
      </w:pPr>
      <w:r w:rsidRPr="002C0B2B">
        <w:rPr>
          <w:rFonts w:asciiTheme="majorHAnsi" w:hAnsiTheme="majorHAnsi"/>
          <w:sz w:val="20"/>
          <w:szCs w:val="20"/>
        </w:rPr>
        <w:t xml:space="preserve">The Clinical </w:t>
      </w:r>
      <w:r w:rsidR="00D217C1" w:rsidRPr="002C0B2B">
        <w:rPr>
          <w:rFonts w:asciiTheme="majorHAnsi" w:hAnsiTheme="majorHAnsi"/>
          <w:sz w:val="20"/>
          <w:szCs w:val="20"/>
        </w:rPr>
        <w:t>Trials Regulation (EU) 536/2014 i</w:t>
      </w:r>
      <w:r w:rsidRPr="002C0B2B">
        <w:rPr>
          <w:rFonts w:asciiTheme="majorHAnsi" w:hAnsiTheme="majorHAnsi"/>
          <w:sz w:val="20"/>
          <w:szCs w:val="20"/>
        </w:rPr>
        <w:t xml:space="preserve">s legislation </w:t>
      </w:r>
      <w:r w:rsidR="00CE38D1" w:rsidRPr="002C0B2B">
        <w:rPr>
          <w:rFonts w:asciiTheme="majorHAnsi" w:hAnsiTheme="majorHAnsi"/>
          <w:sz w:val="20"/>
          <w:szCs w:val="20"/>
        </w:rPr>
        <w:t xml:space="preserve">governing the regulation of all clinical trials </w:t>
      </w:r>
      <w:r w:rsidR="00B5419D">
        <w:rPr>
          <w:rFonts w:asciiTheme="majorHAnsi" w:hAnsiTheme="majorHAnsi"/>
          <w:sz w:val="20"/>
          <w:szCs w:val="20"/>
        </w:rPr>
        <w:t xml:space="preserve">of medicines </w:t>
      </w:r>
      <w:r w:rsidR="00CE38D1" w:rsidRPr="002C0B2B">
        <w:rPr>
          <w:rFonts w:asciiTheme="majorHAnsi" w:hAnsiTheme="majorHAnsi"/>
          <w:sz w:val="20"/>
          <w:szCs w:val="20"/>
        </w:rPr>
        <w:t xml:space="preserve">conducted in Europe. It does not apply to </w:t>
      </w:r>
      <w:r w:rsidR="00D217C1" w:rsidRPr="002C0B2B">
        <w:rPr>
          <w:rFonts w:asciiTheme="majorHAnsi" w:hAnsiTheme="majorHAnsi"/>
          <w:sz w:val="20"/>
          <w:szCs w:val="20"/>
        </w:rPr>
        <w:t xml:space="preserve">non-interventional studies. The Regulation </w:t>
      </w:r>
      <w:r w:rsidRPr="002C0B2B">
        <w:rPr>
          <w:rFonts w:asciiTheme="majorHAnsi" w:hAnsiTheme="majorHAnsi"/>
          <w:sz w:val="20"/>
          <w:szCs w:val="20"/>
        </w:rPr>
        <w:t>was approved by the European Parliament on 16 April 2014</w:t>
      </w:r>
      <w:r w:rsidR="00672483">
        <w:rPr>
          <w:rFonts w:asciiTheme="majorHAnsi" w:hAnsiTheme="majorHAnsi"/>
          <w:sz w:val="20"/>
          <w:szCs w:val="20"/>
        </w:rPr>
        <w:t xml:space="preserve"> and</w:t>
      </w:r>
      <w:r w:rsidR="00CC784F" w:rsidRPr="002C0B2B">
        <w:rPr>
          <w:rFonts w:asciiTheme="majorHAnsi" w:hAnsiTheme="majorHAnsi"/>
          <w:sz w:val="20"/>
          <w:szCs w:val="20"/>
        </w:rPr>
        <w:t xml:space="preserve"> </w:t>
      </w:r>
      <w:r w:rsidR="006F7ED7">
        <w:rPr>
          <w:rFonts w:asciiTheme="majorHAnsi" w:hAnsiTheme="majorHAnsi"/>
          <w:sz w:val="20"/>
          <w:szCs w:val="20"/>
        </w:rPr>
        <w:t>is expected to</w:t>
      </w:r>
      <w:r w:rsidR="00CC784F" w:rsidRPr="002C0B2B">
        <w:rPr>
          <w:rFonts w:asciiTheme="majorHAnsi" w:hAnsiTheme="majorHAnsi"/>
          <w:sz w:val="20"/>
          <w:szCs w:val="20"/>
        </w:rPr>
        <w:t xml:space="preserve"> come into effect by</w:t>
      </w:r>
      <w:r w:rsidRPr="002C0B2B">
        <w:rPr>
          <w:rFonts w:asciiTheme="majorHAnsi" w:hAnsiTheme="majorHAnsi"/>
          <w:sz w:val="20"/>
          <w:szCs w:val="20"/>
        </w:rPr>
        <w:t xml:space="preserve"> October 2018</w:t>
      </w:r>
      <w:r w:rsidR="00CC784F" w:rsidRPr="002C0B2B">
        <w:rPr>
          <w:rFonts w:asciiTheme="majorHAnsi" w:hAnsiTheme="majorHAnsi"/>
          <w:sz w:val="20"/>
          <w:szCs w:val="20"/>
        </w:rPr>
        <w:t xml:space="preserve">. </w:t>
      </w:r>
      <w:r w:rsidR="00D217C1" w:rsidRPr="002C0B2B">
        <w:rPr>
          <w:rFonts w:asciiTheme="majorHAnsi" w:hAnsiTheme="majorHAnsi"/>
          <w:sz w:val="20"/>
          <w:szCs w:val="20"/>
        </w:rPr>
        <w:t>The Regulation replaces the Clinical Trials Directive 2001/20/EC and will be legally binding in all EU member</w:t>
      </w:r>
      <w:r w:rsidR="00191512" w:rsidRPr="002C0B2B">
        <w:rPr>
          <w:rFonts w:asciiTheme="majorHAnsi" w:hAnsiTheme="majorHAnsi"/>
          <w:sz w:val="20"/>
          <w:szCs w:val="20"/>
        </w:rPr>
        <w:t xml:space="preserve"> states. The Regulation aims at harmonisation of practice across EU member states, thereby making it easier to conduct multi-site, multi-country clinical trials.  </w:t>
      </w:r>
    </w:p>
    <w:p w:rsidR="00CC784F" w:rsidRPr="002C0B2B" w:rsidRDefault="00CC784F" w:rsidP="00BA44A0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CC784F" w:rsidRPr="002C0B2B" w:rsidRDefault="00CC784F" w:rsidP="00BA44A0">
      <w:pPr>
        <w:spacing w:line="276" w:lineRule="auto"/>
        <w:rPr>
          <w:rFonts w:asciiTheme="majorHAnsi" w:hAnsiTheme="majorHAnsi"/>
          <w:sz w:val="20"/>
          <w:szCs w:val="20"/>
        </w:rPr>
      </w:pPr>
      <w:r w:rsidRPr="002C0B2B">
        <w:rPr>
          <w:rFonts w:asciiTheme="majorHAnsi" w:hAnsiTheme="majorHAnsi"/>
          <w:sz w:val="20"/>
          <w:szCs w:val="20"/>
        </w:rPr>
        <w:t xml:space="preserve">There is currently no provision in the Regulation for clinical trials being conducted during a public health emergency that might arise from an infectious disease outbreak or bioterrorist incident. There is opportunity to influence a change </w:t>
      </w:r>
      <w:r w:rsidR="00F07315">
        <w:rPr>
          <w:rFonts w:asciiTheme="majorHAnsi" w:hAnsiTheme="majorHAnsi"/>
          <w:sz w:val="20"/>
          <w:szCs w:val="20"/>
        </w:rPr>
        <w:t>when the</w:t>
      </w:r>
      <w:r w:rsidRPr="002C0B2B">
        <w:rPr>
          <w:rFonts w:asciiTheme="majorHAnsi" w:hAnsiTheme="majorHAnsi"/>
          <w:sz w:val="20"/>
          <w:szCs w:val="20"/>
        </w:rPr>
        <w:t xml:space="preserve"> Regulation is reviewed </w:t>
      </w:r>
      <w:r w:rsidR="00F07315">
        <w:rPr>
          <w:rFonts w:asciiTheme="majorHAnsi" w:hAnsiTheme="majorHAnsi"/>
          <w:sz w:val="20"/>
          <w:szCs w:val="20"/>
        </w:rPr>
        <w:t>(</w:t>
      </w:r>
      <w:r w:rsidRPr="002C0B2B">
        <w:rPr>
          <w:rFonts w:asciiTheme="majorHAnsi" w:hAnsiTheme="majorHAnsi"/>
          <w:sz w:val="20"/>
          <w:szCs w:val="20"/>
        </w:rPr>
        <w:t>every 5 year</w:t>
      </w:r>
      <w:r w:rsidR="00F07315">
        <w:rPr>
          <w:rFonts w:asciiTheme="majorHAnsi" w:hAnsiTheme="majorHAnsi"/>
          <w:sz w:val="20"/>
          <w:szCs w:val="20"/>
        </w:rPr>
        <w:t>s)</w:t>
      </w:r>
      <w:r w:rsidRPr="002C0B2B">
        <w:rPr>
          <w:rFonts w:asciiTheme="majorHAnsi" w:hAnsiTheme="majorHAnsi"/>
          <w:sz w:val="20"/>
          <w:szCs w:val="20"/>
        </w:rPr>
        <w:t xml:space="preserve">. </w:t>
      </w:r>
    </w:p>
    <w:p w:rsidR="00D217C1" w:rsidRPr="002C0B2B" w:rsidRDefault="00D217C1" w:rsidP="00BA44A0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AA4120" w:rsidRPr="002C0B2B" w:rsidRDefault="00096BBC" w:rsidP="00BA44A0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2C0B2B">
        <w:rPr>
          <w:rFonts w:asciiTheme="majorHAnsi" w:hAnsiTheme="majorHAnsi"/>
          <w:b/>
          <w:sz w:val="20"/>
          <w:szCs w:val="20"/>
        </w:rPr>
        <w:t>Implications and o</w:t>
      </w:r>
      <w:r w:rsidR="00D217C1" w:rsidRPr="002C0B2B">
        <w:rPr>
          <w:rFonts w:asciiTheme="majorHAnsi" w:hAnsiTheme="majorHAnsi"/>
          <w:b/>
          <w:sz w:val="20"/>
          <w:szCs w:val="20"/>
        </w:rPr>
        <w:t>pportunities for pandemic clinical research</w:t>
      </w:r>
    </w:p>
    <w:p w:rsidR="00191512" w:rsidRPr="002C0B2B" w:rsidRDefault="000D7436" w:rsidP="00BA44A0">
      <w:pPr>
        <w:spacing w:line="276" w:lineRule="auto"/>
        <w:rPr>
          <w:rFonts w:asciiTheme="majorHAnsi" w:hAnsiTheme="majorHAnsi"/>
          <w:sz w:val="20"/>
          <w:szCs w:val="20"/>
        </w:rPr>
      </w:pPr>
      <w:r w:rsidRPr="002C0B2B">
        <w:rPr>
          <w:rFonts w:asciiTheme="majorHAnsi" w:hAnsiTheme="majorHAnsi"/>
          <w:sz w:val="20"/>
          <w:szCs w:val="20"/>
        </w:rPr>
        <w:t xml:space="preserve">While there are many unknowns about how the Regulation will be fully implemented in EU member states, some features </w:t>
      </w:r>
      <w:r w:rsidR="003262B9">
        <w:rPr>
          <w:rFonts w:asciiTheme="majorHAnsi" w:hAnsiTheme="majorHAnsi"/>
          <w:sz w:val="20"/>
          <w:szCs w:val="20"/>
        </w:rPr>
        <w:t xml:space="preserve">may </w:t>
      </w:r>
      <w:r w:rsidRPr="002C0B2B">
        <w:rPr>
          <w:rFonts w:asciiTheme="majorHAnsi" w:hAnsiTheme="majorHAnsi"/>
          <w:sz w:val="20"/>
          <w:szCs w:val="20"/>
        </w:rPr>
        <w:t xml:space="preserve">offer opportunities for PREPARE in developing outbreak response plans. </w:t>
      </w:r>
    </w:p>
    <w:p w:rsidR="00191512" w:rsidRPr="00D217C1" w:rsidRDefault="00191512" w:rsidP="00BA44A0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elraster"/>
        <w:tblW w:w="10598" w:type="dxa"/>
        <w:tblLook w:val="04A0" w:firstRow="1" w:lastRow="0" w:firstColumn="1" w:lastColumn="0" w:noHBand="0" w:noVBand="1"/>
      </w:tblPr>
      <w:tblGrid>
        <w:gridCol w:w="3369"/>
        <w:gridCol w:w="2976"/>
        <w:gridCol w:w="4253"/>
      </w:tblGrid>
      <w:tr w:rsidR="0095249B" w:rsidRPr="00DB022D" w:rsidTr="003262B9">
        <w:tc>
          <w:tcPr>
            <w:tcW w:w="3369" w:type="dxa"/>
            <w:shd w:val="clear" w:color="auto" w:fill="D9D9D9" w:themeFill="background1" w:themeFillShade="D9"/>
          </w:tcPr>
          <w:p w:rsidR="0095249B" w:rsidRPr="00DB022D" w:rsidRDefault="0095249B" w:rsidP="00BA44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022D">
              <w:rPr>
                <w:rFonts w:asciiTheme="majorHAnsi" w:hAnsiTheme="majorHAnsi"/>
                <w:b/>
                <w:sz w:val="20"/>
                <w:szCs w:val="20"/>
              </w:rPr>
              <w:t>Features of the Regulation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5249B" w:rsidRPr="00DB022D" w:rsidRDefault="0095249B" w:rsidP="00BA44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Opportunities</w:t>
            </w:r>
            <w:r w:rsidRPr="00DB022D">
              <w:rPr>
                <w:rFonts w:asciiTheme="majorHAnsi" w:hAnsiTheme="majorHAnsi"/>
                <w:b/>
                <w:sz w:val="20"/>
                <w:szCs w:val="20"/>
              </w:rPr>
              <w:t xml:space="preserve"> for pandemic research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95249B" w:rsidRDefault="00096BBC" w:rsidP="00BA44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Considerations for PREPARE </w:t>
            </w:r>
          </w:p>
        </w:tc>
      </w:tr>
      <w:tr w:rsidR="0095249B" w:rsidRPr="00DB022D" w:rsidTr="003262B9">
        <w:tc>
          <w:tcPr>
            <w:tcW w:w="3369" w:type="dxa"/>
          </w:tcPr>
          <w:p w:rsidR="0095249B" w:rsidRPr="00DB022D" w:rsidRDefault="0095249B" w:rsidP="00BA44A0">
            <w:pPr>
              <w:rPr>
                <w:rFonts w:asciiTheme="majorHAnsi" w:hAnsiTheme="majorHAnsi"/>
                <w:sz w:val="20"/>
                <w:szCs w:val="20"/>
              </w:rPr>
            </w:pPr>
            <w:r w:rsidRPr="00DB022D">
              <w:rPr>
                <w:rFonts w:asciiTheme="majorHAnsi" w:hAnsiTheme="majorHAnsi"/>
                <w:sz w:val="20"/>
                <w:szCs w:val="20"/>
              </w:rPr>
              <w:t xml:space="preserve">A single application dossier for a clinical trial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is </w:t>
            </w:r>
            <w:r w:rsidR="003910AA">
              <w:rPr>
                <w:rFonts w:asciiTheme="majorHAnsi" w:hAnsiTheme="majorHAnsi"/>
                <w:sz w:val="20"/>
                <w:szCs w:val="20"/>
              </w:rPr>
              <w:t>submitted through the</w:t>
            </w:r>
            <w:r w:rsidR="006F7ED7">
              <w:rPr>
                <w:rFonts w:asciiTheme="majorHAnsi" w:hAnsiTheme="majorHAnsi"/>
                <w:sz w:val="20"/>
                <w:szCs w:val="20"/>
              </w:rPr>
              <w:t xml:space="preserve"> EU</w:t>
            </w:r>
            <w:r w:rsidRPr="00DB022D">
              <w:rPr>
                <w:rFonts w:asciiTheme="majorHAnsi" w:hAnsiTheme="majorHAnsi"/>
                <w:sz w:val="20"/>
                <w:szCs w:val="20"/>
              </w:rPr>
              <w:t xml:space="preserve"> portal</w:t>
            </w:r>
            <w:r w:rsidR="00215600">
              <w:rPr>
                <w:rFonts w:asciiTheme="majorHAnsi" w:hAnsiTheme="majorHAnsi"/>
                <w:sz w:val="20"/>
                <w:szCs w:val="20"/>
              </w:rPr>
              <w:t xml:space="preserve"> for assessment in two parts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The first part is subject to </w:t>
            </w:r>
            <w:r w:rsidR="00215600">
              <w:rPr>
                <w:rFonts w:asciiTheme="majorHAnsi" w:hAnsiTheme="majorHAnsi"/>
                <w:sz w:val="20"/>
                <w:szCs w:val="20"/>
              </w:rPr>
              <w:t xml:space="preserve">a coordinated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  <w:r w:rsidR="00672483" w:rsidRPr="006F7ED7">
              <w:rPr>
                <w:rFonts w:asciiTheme="majorHAnsi" w:hAnsiTheme="majorHAnsi"/>
                <w:sz w:val="20"/>
                <w:szCs w:val="20"/>
              </w:rPr>
              <w:t xml:space="preserve">by </w:t>
            </w:r>
            <w:r w:rsidR="00215600">
              <w:rPr>
                <w:rFonts w:asciiTheme="majorHAnsi" w:hAnsiTheme="majorHAnsi"/>
                <w:sz w:val="20"/>
                <w:szCs w:val="20"/>
              </w:rPr>
              <w:t xml:space="preserve">all concerned member states with </w:t>
            </w:r>
            <w:r w:rsidR="006F7ED7" w:rsidRPr="006F7ED7">
              <w:rPr>
                <w:rFonts w:asciiTheme="majorHAnsi" w:hAnsiTheme="majorHAnsi"/>
                <w:sz w:val="20"/>
                <w:szCs w:val="20"/>
              </w:rPr>
              <w:t>one</w:t>
            </w:r>
            <w:r w:rsidR="006F7ED7">
              <w:rPr>
                <w:rFonts w:asciiTheme="majorHAnsi" w:hAnsiTheme="majorHAnsi"/>
                <w:sz w:val="20"/>
                <w:szCs w:val="20"/>
              </w:rPr>
              <w:t xml:space="preserve"> member state that will act as the “reporting member state”</w:t>
            </w:r>
            <w:r w:rsidR="00215600">
              <w:rPr>
                <w:rFonts w:asciiTheme="majorHAnsi" w:hAnsiTheme="majorHAnsi"/>
                <w:sz w:val="20"/>
                <w:szCs w:val="20"/>
              </w:rPr>
              <w:t xml:space="preserve"> taking the lead</w:t>
            </w:r>
            <w:r w:rsidR="006F7ED7">
              <w:rPr>
                <w:rFonts w:asciiTheme="majorHAnsi" w:hAnsiTheme="majorHAnsi"/>
                <w:sz w:val="20"/>
                <w:szCs w:val="20"/>
              </w:rPr>
              <w:t>. T</w:t>
            </w:r>
            <w:r>
              <w:rPr>
                <w:rFonts w:asciiTheme="majorHAnsi" w:hAnsiTheme="majorHAnsi"/>
                <w:sz w:val="20"/>
                <w:szCs w:val="20"/>
              </w:rPr>
              <w:t>he second part is subject to review by each relevant member state</w:t>
            </w:r>
            <w:r w:rsidR="00215600">
              <w:rPr>
                <w:rFonts w:asciiTheme="majorHAnsi" w:hAnsiTheme="majorHAnsi"/>
                <w:sz w:val="20"/>
                <w:szCs w:val="20"/>
              </w:rPr>
              <w:t xml:space="preserve"> and deals with national issues (</w:t>
            </w:r>
            <w:r w:rsidR="003262B9">
              <w:rPr>
                <w:rFonts w:asciiTheme="majorHAnsi" w:hAnsiTheme="majorHAnsi"/>
                <w:sz w:val="20"/>
                <w:szCs w:val="20"/>
              </w:rPr>
              <w:t>e.g.</w:t>
            </w:r>
            <w:r w:rsidR="00215600">
              <w:rPr>
                <w:rFonts w:asciiTheme="majorHAnsi" w:hAnsiTheme="majorHAnsi"/>
                <w:sz w:val="20"/>
                <w:szCs w:val="20"/>
              </w:rPr>
              <w:t xml:space="preserve"> informed consent, site suitability)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2976" w:type="dxa"/>
          </w:tcPr>
          <w:p w:rsidR="0095249B" w:rsidRPr="00DB022D" w:rsidRDefault="0095249B" w:rsidP="00BA44A0">
            <w:pPr>
              <w:rPr>
                <w:rFonts w:asciiTheme="majorHAnsi" w:hAnsiTheme="majorHAnsi"/>
                <w:sz w:val="20"/>
                <w:szCs w:val="20"/>
              </w:rPr>
            </w:pPr>
            <w:r w:rsidRPr="00DB022D">
              <w:rPr>
                <w:rFonts w:asciiTheme="majorHAnsi" w:hAnsiTheme="majorHAnsi"/>
                <w:sz w:val="20"/>
                <w:szCs w:val="20"/>
              </w:rPr>
              <w:t xml:space="preserve">No need for duplicate submissions </w:t>
            </w:r>
            <w:r w:rsidR="00096BBC">
              <w:rPr>
                <w:rFonts w:asciiTheme="majorHAnsi" w:hAnsiTheme="majorHAnsi"/>
                <w:sz w:val="20"/>
                <w:szCs w:val="20"/>
              </w:rPr>
              <w:t>that meet unique requirements of different EU member states.</w:t>
            </w:r>
            <w:r w:rsidR="00672483">
              <w:rPr>
                <w:rFonts w:asciiTheme="majorHAnsi" w:hAnsiTheme="majorHAnsi"/>
                <w:sz w:val="20"/>
                <w:szCs w:val="20"/>
              </w:rPr>
              <w:t xml:space="preserve"> This represents an </w:t>
            </w:r>
            <w:r w:rsidR="0028296A">
              <w:rPr>
                <w:rFonts w:asciiTheme="majorHAnsi" w:hAnsiTheme="majorHAnsi"/>
                <w:sz w:val="20"/>
                <w:szCs w:val="20"/>
              </w:rPr>
              <w:t xml:space="preserve">opportunity for PREPARE in reducing the time to prepare </w:t>
            </w:r>
            <w:r w:rsidR="00672483">
              <w:rPr>
                <w:rFonts w:asciiTheme="majorHAnsi" w:hAnsiTheme="majorHAnsi"/>
                <w:sz w:val="20"/>
                <w:szCs w:val="20"/>
              </w:rPr>
              <w:t xml:space="preserve">and obtain approval for </w:t>
            </w:r>
            <w:r w:rsidR="0028296A">
              <w:rPr>
                <w:rFonts w:asciiTheme="majorHAnsi" w:hAnsiTheme="majorHAnsi"/>
                <w:sz w:val="20"/>
                <w:szCs w:val="20"/>
              </w:rPr>
              <w:t xml:space="preserve">new </w:t>
            </w:r>
            <w:r w:rsidR="00672483">
              <w:rPr>
                <w:rFonts w:asciiTheme="majorHAnsi" w:hAnsiTheme="majorHAnsi"/>
                <w:sz w:val="20"/>
                <w:szCs w:val="20"/>
              </w:rPr>
              <w:t xml:space="preserve">multi-country </w:t>
            </w:r>
            <w:r w:rsidR="0028296A">
              <w:rPr>
                <w:rFonts w:asciiTheme="majorHAnsi" w:hAnsiTheme="majorHAnsi"/>
                <w:sz w:val="20"/>
                <w:szCs w:val="20"/>
              </w:rPr>
              <w:t>clinical trial</w:t>
            </w:r>
            <w:r w:rsidR="00672483">
              <w:rPr>
                <w:rFonts w:asciiTheme="majorHAnsi" w:hAnsiTheme="majorHAnsi"/>
                <w:sz w:val="20"/>
                <w:szCs w:val="20"/>
              </w:rPr>
              <w:t>s.</w:t>
            </w:r>
            <w:r w:rsidR="002829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0F55F9" w:rsidRDefault="000F55F9" w:rsidP="00BA44A0">
            <w:pPr>
              <w:pStyle w:val="Lijstalinea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Develop an application pro-forma that includes as much pre-populated information as possible. </w:t>
            </w:r>
          </w:p>
          <w:p w:rsidR="0095249B" w:rsidRPr="00890071" w:rsidRDefault="0095249B" w:rsidP="00BA44A0">
            <w:pPr>
              <w:pStyle w:val="Lijstalinea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890071">
              <w:rPr>
                <w:rFonts w:asciiTheme="majorHAnsi" w:hAnsiTheme="majorHAnsi"/>
                <w:sz w:val="20"/>
                <w:szCs w:val="20"/>
              </w:rPr>
              <w:t xml:space="preserve">Plan to submit </w:t>
            </w:r>
            <w:r w:rsidR="000F55F9">
              <w:rPr>
                <w:rFonts w:asciiTheme="majorHAnsi" w:hAnsiTheme="majorHAnsi"/>
                <w:sz w:val="20"/>
                <w:szCs w:val="20"/>
              </w:rPr>
              <w:t xml:space="preserve">application dossier </w:t>
            </w:r>
            <w:r w:rsidR="003262B9">
              <w:rPr>
                <w:rFonts w:asciiTheme="majorHAnsi" w:hAnsiTheme="majorHAnsi"/>
                <w:sz w:val="20"/>
                <w:szCs w:val="20"/>
              </w:rPr>
              <w:t xml:space="preserve">parts 1 and 2 together. </w:t>
            </w:r>
          </w:p>
          <w:p w:rsidR="0028296A" w:rsidRPr="0028296A" w:rsidRDefault="0028296A" w:rsidP="00BA44A0">
            <w:pPr>
              <w:pStyle w:val="Lijstalinea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="00096BBC">
              <w:rPr>
                <w:rFonts w:asciiTheme="majorHAnsi" w:hAnsiTheme="majorHAnsi"/>
                <w:sz w:val="20"/>
                <w:szCs w:val="20"/>
              </w:rPr>
              <w:t xml:space="preserve">dentify clinical sites in </w:t>
            </w:r>
            <w:r w:rsidR="000D7436">
              <w:rPr>
                <w:rFonts w:asciiTheme="majorHAnsi" w:hAnsiTheme="majorHAnsi"/>
                <w:sz w:val="20"/>
                <w:szCs w:val="20"/>
              </w:rPr>
              <w:t>EU member</w:t>
            </w:r>
            <w:r w:rsidR="0095249B" w:rsidRPr="00890071">
              <w:rPr>
                <w:rFonts w:asciiTheme="majorHAnsi" w:hAnsiTheme="majorHAnsi"/>
                <w:sz w:val="20"/>
                <w:szCs w:val="20"/>
              </w:rPr>
              <w:t xml:space="preserve"> states that </w:t>
            </w:r>
            <w:r w:rsidR="00B4389C">
              <w:rPr>
                <w:rFonts w:asciiTheme="majorHAnsi" w:hAnsiTheme="majorHAnsi"/>
                <w:sz w:val="20"/>
                <w:szCs w:val="20"/>
              </w:rPr>
              <w:t xml:space="preserve">have expedited review processes. </w:t>
            </w:r>
            <w:r w:rsidR="00BA44A0">
              <w:rPr>
                <w:rFonts w:asciiTheme="majorHAnsi" w:hAnsiTheme="majorHAnsi"/>
                <w:sz w:val="20"/>
                <w:szCs w:val="20"/>
              </w:rPr>
              <w:t xml:space="preserve">Note: clinical trial can start once a member state has had part 2 approved. </w:t>
            </w:r>
          </w:p>
        </w:tc>
      </w:tr>
      <w:tr w:rsidR="0095249B" w:rsidRPr="00DB022D" w:rsidTr="003262B9">
        <w:tc>
          <w:tcPr>
            <w:tcW w:w="3369" w:type="dxa"/>
          </w:tcPr>
          <w:p w:rsidR="003910AA" w:rsidRDefault="003910AA" w:rsidP="00BA44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timeframes </w:t>
            </w:r>
            <w:r w:rsidR="0095249B">
              <w:rPr>
                <w:rFonts w:asciiTheme="majorHAnsi" w:hAnsiTheme="majorHAnsi"/>
                <w:sz w:val="20"/>
                <w:szCs w:val="20"/>
              </w:rPr>
              <w:t>are binding across all members states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910AA" w:rsidRPr="003910AA" w:rsidRDefault="00215600" w:rsidP="00BA44A0">
            <w:pPr>
              <w:pStyle w:val="Lijstalinea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45 days for initial assessment (additional 31 days may be added if questions need to be asked).</w:t>
            </w:r>
          </w:p>
        </w:tc>
        <w:tc>
          <w:tcPr>
            <w:tcW w:w="2976" w:type="dxa"/>
          </w:tcPr>
          <w:p w:rsidR="0095249B" w:rsidRPr="00DB022D" w:rsidRDefault="0095249B" w:rsidP="00BA44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Establishes greater predictability for researchers. Reduces variability across member states. However, expedited review processes in each member state not mandated, therefore variability </w:t>
            </w:r>
            <w:r w:rsidR="00F07315">
              <w:rPr>
                <w:rFonts w:asciiTheme="majorHAnsi" w:hAnsiTheme="majorHAnsi"/>
                <w:sz w:val="20"/>
                <w:szCs w:val="20"/>
              </w:rPr>
              <w:t xml:space="preserve">for expedited review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still anticipated. </w:t>
            </w:r>
          </w:p>
        </w:tc>
        <w:tc>
          <w:tcPr>
            <w:tcW w:w="4253" w:type="dxa"/>
          </w:tcPr>
          <w:p w:rsidR="00890071" w:rsidRPr="00890071" w:rsidRDefault="003262B9" w:rsidP="00BA44A0">
            <w:pPr>
              <w:pStyle w:val="Lijstalinea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</w:t>
            </w:r>
            <w:r w:rsidR="00890071">
              <w:rPr>
                <w:rFonts w:asciiTheme="majorHAnsi" w:hAnsiTheme="majorHAnsi"/>
                <w:sz w:val="20"/>
                <w:szCs w:val="20"/>
              </w:rPr>
              <w:t>sure part 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A7A17">
              <w:rPr>
                <w:rFonts w:asciiTheme="majorHAnsi" w:hAnsiTheme="majorHAnsi"/>
                <w:sz w:val="20"/>
                <w:szCs w:val="20"/>
              </w:rPr>
              <w:t xml:space="preserve">of the application dossier </w:t>
            </w:r>
            <w:r w:rsidR="00890071">
              <w:rPr>
                <w:rFonts w:asciiTheme="majorHAnsi" w:hAnsiTheme="majorHAnsi"/>
                <w:sz w:val="20"/>
                <w:szCs w:val="20"/>
              </w:rPr>
              <w:t xml:space="preserve">is submitted to </w:t>
            </w:r>
            <w:r w:rsidR="000D7436">
              <w:rPr>
                <w:rFonts w:asciiTheme="majorHAnsi" w:hAnsiTheme="majorHAnsi"/>
                <w:sz w:val="20"/>
                <w:szCs w:val="20"/>
              </w:rPr>
              <w:t xml:space="preserve">an </w:t>
            </w:r>
            <w:r w:rsidR="00890071">
              <w:rPr>
                <w:rFonts w:asciiTheme="majorHAnsi" w:hAnsiTheme="majorHAnsi"/>
                <w:sz w:val="20"/>
                <w:szCs w:val="20"/>
              </w:rPr>
              <w:t>EU member state that has expedited review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BA44A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890071" w:rsidRPr="0028296A" w:rsidRDefault="0028296A" w:rsidP="00BA44A0">
            <w:pPr>
              <w:pStyle w:val="Lijstalinea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Engage regulatory authorities in EU member states where expedited mechanisms do not exist during inter-pandemic periods to consider how these mechanisms might be established – opportunity to do this now as </w:t>
            </w:r>
            <w:r w:rsidRPr="0028296A">
              <w:rPr>
                <w:rFonts w:asciiTheme="majorHAnsi" w:hAnsiTheme="majorHAnsi"/>
                <w:sz w:val="20"/>
                <w:szCs w:val="20"/>
              </w:rPr>
              <w:t xml:space="preserve">EU member states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start to consider how to re-organise themselves in preparation for the Regulation to take effect. </w:t>
            </w:r>
          </w:p>
        </w:tc>
      </w:tr>
      <w:tr w:rsidR="0095249B" w:rsidRPr="00DB022D" w:rsidTr="003262B9">
        <w:tc>
          <w:tcPr>
            <w:tcW w:w="3369" w:type="dxa"/>
          </w:tcPr>
          <w:p w:rsidR="0095249B" w:rsidRPr="00DB022D" w:rsidRDefault="0095249B" w:rsidP="00BA44A0">
            <w:pPr>
              <w:rPr>
                <w:rFonts w:asciiTheme="majorHAnsi" w:hAnsiTheme="majorHAnsi"/>
                <w:sz w:val="20"/>
                <w:szCs w:val="20"/>
              </w:rPr>
            </w:pPr>
            <w:r w:rsidRPr="00DB022D">
              <w:rPr>
                <w:rFonts w:asciiTheme="majorHAnsi" w:hAnsiTheme="majorHAnsi"/>
                <w:sz w:val="20"/>
                <w:szCs w:val="20"/>
              </w:rPr>
              <w:t xml:space="preserve">New category of clinical study: “low intervention study” that is </w:t>
            </w:r>
            <w:r w:rsidR="000D7436">
              <w:rPr>
                <w:rFonts w:asciiTheme="majorHAnsi" w:hAnsiTheme="majorHAnsi"/>
                <w:sz w:val="20"/>
                <w:szCs w:val="20"/>
              </w:rPr>
              <w:t>subject to “l</w:t>
            </w:r>
            <w:r w:rsidRPr="00DB022D">
              <w:rPr>
                <w:rFonts w:asciiTheme="majorHAnsi" w:hAnsiTheme="majorHAnsi"/>
                <w:sz w:val="20"/>
                <w:szCs w:val="20"/>
              </w:rPr>
              <w:t>ess stringent rules</w:t>
            </w:r>
            <w:r w:rsidR="000D7436">
              <w:rPr>
                <w:rFonts w:asciiTheme="majorHAnsi" w:hAnsiTheme="majorHAnsi"/>
                <w:sz w:val="20"/>
                <w:szCs w:val="20"/>
              </w:rPr>
              <w:t>”</w:t>
            </w:r>
            <w:r w:rsidR="00A83035">
              <w:rPr>
                <w:rFonts w:asciiTheme="majorHAnsi" w:hAnsiTheme="majorHAnsi"/>
                <w:sz w:val="20"/>
                <w:szCs w:val="20"/>
              </w:rPr>
              <w:t xml:space="preserve"> compared</w:t>
            </w:r>
            <w:r w:rsidRPr="00DB022D">
              <w:rPr>
                <w:rFonts w:asciiTheme="majorHAnsi" w:hAnsiTheme="majorHAnsi"/>
                <w:sz w:val="20"/>
                <w:szCs w:val="20"/>
              </w:rPr>
              <w:t xml:space="preserve"> with other clinical studies – i.e. a </w:t>
            </w:r>
            <w:r w:rsidR="00096BBC">
              <w:rPr>
                <w:rFonts w:asciiTheme="majorHAnsi" w:hAnsiTheme="majorHAnsi"/>
                <w:sz w:val="20"/>
                <w:szCs w:val="20"/>
              </w:rPr>
              <w:t>proportionate, risk-based approach.</w:t>
            </w:r>
          </w:p>
        </w:tc>
        <w:tc>
          <w:tcPr>
            <w:tcW w:w="2976" w:type="dxa"/>
          </w:tcPr>
          <w:p w:rsidR="0095249B" w:rsidRPr="00DB022D" w:rsidRDefault="0095249B" w:rsidP="00BA44A0">
            <w:pPr>
              <w:rPr>
                <w:rFonts w:asciiTheme="majorHAnsi" w:hAnsiTheme="majorHAnsi"/>
                <w:sz w:val="20"/>
                <w:szCs w:val="20"/>
              </w:rPr>
            </w:pPr>
            <w:r w:rsidRPr="00DB022D">
              <w:rPr>
                <w:rFonts w:asciiTheme="majorHAnsi" w:hAnsiTheme="majorHAnsi"/>
                <w:sz w:val="20"/>
                <w:szCs w:val="20"/>
              </w:rPr>
              <w:t xml:space="preserve">Makes it easier to do studies evaluating routinely used medications, such as comparative effectiveness studies. Also easier to do </w:t>
            </w:r>
            <w:r w:rsidR="00096BBC" w:rsidRPr="001C77FF">
              <w:rPr>
                <w:rFonts w:asciiTheme="majorHAnsi" w:hAnsiTheme="majorHAnsi"/>
                <w:sz w:val="20"/>
                <w:szCs w:val="20"/>
              </w:rPr>
              <w:t xml:space="preserve">some </w:t>
            </w:r>
            <w:r w:rsidRPr="001C77FF">
              <w:rPr>
                <w:rFonts w:asciiTheme="majorHAnsi" w:hAnsiTheme="majorHAnsi"/>
                <w:sz w:val="20"/>
                <w:szCs w:val="20"/>
              </w:rPr>
              <w:t>paediatric studies</w:t>
            </w:r>
            <w:r w:rsidR="00191512" w:rsidRPr="001C77FF">
              <w:rPr>
                <w:rFonts w:asciiTheme="majorHAnsi" w:hAnsiTheme="majorHAnsi"/>
                <w:sz w:val="20"/>
                <w:szCs w:val="20"/>
              </w:rPr>
              <w:t xml:space="preserve">, e.g. </w:t>
            </w:r>
            <w:r w:rsidR="006D1129" w:rsidRPr="001C77FF">
              <w:rPr>
                <w:rFonts w:asciiTheme="majorHAnsi" w:hAnsiTheme="majorHAnsi"/>
                <w:sz w:val="20"/>
                <w:szCs w:val="20"/>
              </w:rPr>
              <w:t xml:space="preserve">evaluations of medications </w:t>
            </w:r>
            <w:r w:rsidR="00191512" w:rsidRPr="001C77FF">
              <w:rPr>
                <w:rFonts w:asciiTheme="majorHAnsi" w:hAnsiTheme="majorHAnsi"/>
                <w:sz w:val="20"/>
                <w:szCs w:val="20"/>
              </w:rPr>
              <w:t>routinely used off-label</w:t>
            </w:r>
            <w:r w:rsidR="001C77FF" w:rsidRPr="003262B9">
              <w:rPr>
                <w:rFonts w:asciiTheme="majorHAnsi" w:hAnsiTheme="majorHAnsi"/>
                <w:sz w:val="20"/>
                <w:szCs w:val="20"/>
              </w:rPr>
              <w:t xml:space="preserve"> where </w:t>
            </w:r>
            <w:r w:rsidR="001C77FF" w:rsidRPr="001C77FF">
              <w:rPr>
                <w:rFonts w:asciiTheme="majorHAnsi" w:hAnsiTheme="majorHAnsi"/>
                <w:sz w:val="20"/>
                <w:szCs w:val="20"/>
              </w:rPr>
              <w:t>evidence-based and supported by published scientific evidence</w:t>
            </w:r>
            <w:r w:rsidRPr="001C77FF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4253" w:type="dxa"/>
          </w:tcPr>
          <w:p w:rsidR="002C0B2B" w:rsidRDefault="002C0B2B" w:rsidP="00BA44A0">
            <w:pPr>
              <w:pStyle w:val="Lijstalinea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Engage regulatory authorities in EU member state</w:t>
            </w:r>
            <w:r w:rsidR="00F07315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consider acceptability of alternate informed consent procedures for low intervention studies – e.g. for PREPARE in outbreak response mode. </w:t>
            </w:r>
          </w:p>
          <w:p w:rsidR="002C0B2B" w:rsidRPr="002C0B2B" w:rsidRDefault="002C0B2B" w:rsidP="00BA44A0">
            <w:pPr>
              <w:pStyle w:val="Lijstalinea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Consider and justify classification where current PREPARE studies and sleeping protocols might be considered low intervention. </w:t>
            </w:r>
          </w:p>
        </w:tc>
      </w:tr>
      <w:tr w:rsidR="0095249B" w:rsidRPr="00DB022D" w:rsidTr="003262B9">
        <w:tc>
          <w:tcPr>
            <w:tcW w:w="3369" w:type="dxa"/>
          </w:tcPr>
          <w:p w:rsidR="0095249B" w:rsidRPr="00DB022D" w:rsidRDefault="0095249B" w:rsidP="00BA44A0">
            <w:pPr>
              <w:rPr>
                <w:rFonts w:asciiTheme="majorHAnsi" w:hAnsiTheme="majorHAnsi"/>
                <w:sz w:val="20"/>
                <w:szCs w:val="20"/>
              </w:rPr>
            </w:pPr>
            <w:r w:rsidRPr="00DB022D">
              <w:rPr>
                <w:rFonts w:asciiTheme="majorHAnsi" w:hAnsiTheme="majorHAnsi"/>
                <w:sz w:val="20"/>
                <w:szCs w:val="20"/>
              </w:rPr>
              <w:t xml:space="preserve">Co-sponsorship </w:t>
            </w:r>
          </w:p>
        </w:tc>
        <w:tc>
          <w:tcPr>
            <w:tcW w:w="2976" w:type="dxa"/>
          </w:tcPr>
          <w:p w:rsidR="0095249B" w:rsidRPr="00DB022D" w:rsidRDefault="0095249B" w:rsidP="00BA44A0">
            <w:pPr>
              <w:rPr>
                <w:rFonts w:asciiTheme="majorHAnsi" w:hAnsiTheme="majorHAnsi"/>
                <w:sz w:val="20"/>
                <w:szCs w:val="20"/>
              </w:rPr>
            </w:pPr>
            <w:r w:rsidRPr="00DB022D">
              <w:rPr>
                <w:rFonts w:asciiTheme="majorHAnsi" w:hAnsiTheme="majorHAnsi"/>
                <w:sz w:val="20"/>
                <w:szCs w:val="20"/>
              </w:rPr>
              <w:t>Potential for public-private partnerships</w:t>
            </w:r>
          </w:p>
        </w:tc>
        <w:tc>
          <w:tcPr>
            <w:tcW w:w="4253" w:type="dxa"/>
          </w:tcPr>
          <w:p w:rsidR="0095249B" w:rsidRPr="00DB022D" w:rsidRDefault="0095249B" w:rsidP="00BA44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A5D75" w:rsidRPr="00FA0DF1" w:rsidRDefault="00DA5D75" w:rsidP="00BA44A0">
      <w:pPr>
        <w:rPr>
          <w:rFonts w:asciiTheme="majorHAnsi" w:hAnsiTheme="majorHAnsi"/>
        </w:rPr>
      </w:pPr>
    </w:p>
    <w:sectPr w:rsidR="00DA5D75" w:rsidRPr="00FA0DF1" w:rsidSect="002C0B2B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53" w:rsidRDefault="00A84D53" w:rsidP="00E61F93">
      <w:r>
        <w:separator/>
      </w:r>
    </w:p>
  </w:endnote>
  <w:endnote w:type="continuationSeparator" w:id="0">
    <w:p w:rsidR="00A84D53" w:rsidRDefault="00A84D53" w:rsidP="00E6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B9" w:rsidRDefault="003262B9" w:rsidP="00E61F9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262B9" w:rsidRDefault="00A84D53" w:rsidP="00E61F93">
    <w:pPr>
      <w:pStyle w:val="Voettekst"/>
      <w:ind w:right="360"/>
    </w:pPr>
    <w:sdt>
      <w:sdtPr>
        <w:id w:val="969400743"/>
        <w:placeholder>
          <w:docPart w:val="DF3DBA9C84B8F94A9C80027D4A7CD3B8"/>
        </w:placeholder>
        <w:temporary/>
        <w:showingPlcHdr/>
      </w:sdtPr>
      <w:sdtEndPr/>
      <w:sdtContent>
        <w:r w:rsidR="003262B9">
          <w:t>[Type text]</w:t>
        </w:r>
      </w:sdtContent>
    </w:sdt>
    <w:r w:rsidR="003262B9">
      <w:ptab w:relativeTo="margin" w:alignment="center" w:leader="none"/>
    </w:r>
    <w:sdt>
      <w:sdtPr>
        <w:id w:val="969400748"/>
        <w:placeholder>
          <w:docPart w:val="4686E96E2F862542BE07A9B6A5977E91"/>
        </w:placeholder>
        <w:temporary/>
        <w:showingPlcHdr/>
      </w:sdtPr>
      <w:sdtEndPr/>
      <w:sdtContent>
        <w:r w:rsidR="003262B9">
          <w:t>[Type text]</w:t>
        </w:r>
      </w:sdtContent>
    </w:sdt>
    <w:r w:rsidR="003262B9">
      <w:ptab w:relativeTo="margin" w:alignment="right" w:leader="none"/>
    </w:r>
    <w:sdt>
      <w:sdtPr>
        <w:id w:val="969400753"/>
        <w:placeholder>
          <w:docPart w:val="26C8067A5775C445800012A427B22659"/>
        </w:placeholder>
        <w:temporary/>
        <w:showingPlcHdr/>
      </w:sdtPr>
      <w:sdtEndPr/>
      <w:sdtContent>
        <w:r w:rsidR="003262B9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B9" w:rsidRDefault="003262B9" w:rsidP="00E61F9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B1F52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262B9" w:rsidRDefault="007D576B" w:rsidP="007D576B">
    <w:pPr>
      <w:pStyle w:val="Voettekst"/>
      <w:spacing w:line="276" w:lineRule="auto"/>
      <w:ind w:right="360"/>
    </w:pPr>
    <w:r>
      <w:rPr>
        <w:rFonts w:asciiTheme="majorHAnsi" w:hAnsiTheme="majorHAnsi"/>
        <w:sz w:val="20"/>
        <w:szCs w:val="20"/>
      </w:rPr>
      <w:t>S</w:t>
    </w:r>
    <w:r w:rsidR="003262B9">
      <w:rPr>
        <w:rFonts w:asciiTheme="majorHAnsi" w:hAnsiTheme="majorHAnsi"/>
        <w:sz w:val="20"/>
        <w:szCs w:val="20"/>
      </w:rPr>
      <w:t>ummary by Nina Gobat (</w:t>
    </w:r>
    <w:r>
      <w:rPr>
        <w:rFonts w:asciiTheme="majorHAnsi" w:hAnsiTheme="majorHAnsi"/>
        <w:sz w:val="20"/>
        <w:szCs w:val="20"/>
      </w:rPr>
      <w:t xml:space="preserve">for </w:t>
    </w:r>
    <w:r w:rsidR="003262B9">
      <w:rPr>
        <w:rFonts w:asciiTheme="majorHAnsi" w:hAnsiTheme="majorHAnsi"/>
        <w:sz w:val="20"/>
        <w:szCs w:val="20"/>
      </w:rPr>
      <w:t>PREPARE WP1</w:t>
    </w:r>
    <w:r>
      <w:rPr>
        <w:rFonts w:asciiTheme="majorHAnsi" w:hAnsiTheme="majorHAnsi"/>
        <w:sz w:val="20"/>
        <w:szCs w:val="20"/>
      </w:rPr>
      <w:t>, GobatNH@cardiff.ac.uk</w:t>
    </w:r>
    <w:r w:rsidR="003262B9">
      <w:rPr>
        <w:rFonts w:asciiTheme="majorHAnsi" w:hAnsiTheme="majorHAnsi"/>
        <w:sz w:val="20"/>
        <w:szCs w:val="20"/>
      </w:rPr>
      <w:t>) and Martin O’Kane (Medicines and Healthcare products Regulatory Agency, UK)</w:t>
    </w:r>
    <w:r>
      <w:rPr>
        <w:rFonts w:asciiTheme="majorHAnsi" w:hAnsiTheme="majorHAnsi"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53" w:rsidRDefault="00A84D53" w:rsidP="00E61F93">
      <w:r>
        <w:separator/>
      </w:r>
    </w:p>
  </w:footnote>
  <w:footnote w:type="continuationSeparator" w:id="0">
    <w:p w:rsidR="00A84D53" w:rsidRDefault="00A84D53" w:rsidP="00E61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940" w:hanging="360"/>
      </w:pPr>
    </w:lvl>
    <w:lvl w:ilvl="1" w:tplc="00000002">
      <w:start w:val="1"/>
      <w:numFmt w:val="bullet"/>
      <w:lvlText w:val=".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B444DF"/>
    <w:multiLevelType w:val="hybridMultilevel"/>
    <w:tmpl w:val="DBCE0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05B69"/>
    <w:multiLevelType w:val="hybridMultilevel"/>
    <w:tmpl w:val="3C26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059BB"/>
    <w:multiLevelType w:val="hybridMultilevel"/>
    <w:tmpl w:val="652A7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D4B9D"/>
    <w:multiLevelType w:val="hybridMultilevel"/>
    <w:tmpl w:val="2BB66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A3449"/>
    <w:multiLevelType w:val="hybridMultilevel"/>
    <w:tmpl w:val="43A8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C6F85"/>
    <w:multiLevelType w:val="hybridMultilevel"/>
    <w:tmpl w:val="1FEC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9308E"/>
    <w:multiLevelType w:val="hybridMultilevel"/>
    <w:tmpl w:val="F92E1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F06B89"/>
    <w:multiLevelType w:val="hybridMultilevel"/>
    <w:tmpl w:val="F92E1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2254B"/>
    <w:multiLevelType w:val="hybridMultilevel"/>
    <w:tmpl w:val="DD360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284508"/>
    <w:multiLevelType w:val="hybridMultilevel"/>
    <w:tmpl w:val="2EF0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23782"/>
    <w:multiLevelType w:val="hybridMultilevel"/>
    <w:tmpl w:val="70A04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B800B1"/>
    <w:multiLevelType w:val="hybridMultilevel"/>
    <w:tmpl w:val="1C8450DE"/>
    <w:lvl w:ilvl="0" w:tplc="BF023A1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C7735E"/>
    <w:multiLevelType w:val="hybridMultilevel"/>
    <w:tmpl w:val="3C68A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381612"/>
    <w:multiLevelType w:val="hybridMultilevel"/>
    <w:tmpl w:val="BBB83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54"/>
    <w:rsid w:val="00001F50"/>
    <w:rsid w:val="0006252B"/>
    <w:rsid w:val="00096BBC"/>
    <w:rsid w:val="000B1F52"/>
    <w:rsid w:val="000D7436"/>
    <w:rsid w:val="000E5E18"/>
    <w:rsid w:val="000F55F9"/>
    <w:rsid w:val="00106C99"/>
    <w:rsid w:val="00191512"/>
    <w:rsid w:val="00195120"/>
    <w:rsid w:val="001C77FF"/>
    <w:rsid w:val="00215600"/>
    <w:rsid w:val="00234110"/>
    <w:rsid w:val="0028296A"/>
    <w:rsid w:val="002C0B2B"/>
    <w:rsid w:val="003262B9"/>
    <w:rsid w:val="003910AA"/>
    <w:rsid w:val="004459EB"/>
    <w:rsid w:val="005D1FDF"/>
    <w:rsid w:val="005E57E5"/>
    <w:rsid w:val="00672483"/>
    <w:rsid w:val="006D1129"/>
    <w:rsid w:val="006F7ED7"/>
    <w:rsid w:val="007029EF"/>
    <w:rsid w:val="00733954"/>
    <w:rsid w:val="007D576B"/>
    <w:rsid w:val="00824E4E"/>
    <w:rsid w:val="00890071"/>
    <w:rsid w:val="0089645D"/>
    <w:rsid w:val="0091591E"/>
    <w:rsid w:val="0095249B"/>
    <w:rsid w:val="00A60F24"/>
    <w:rsid w:val="00A83035"/>
    <w:rsid w:val="00A84D53"/>
    <w:rsid w:val="00AA4120"/>
    <w:rsid w:val="00B4389C"/>
    <w:rsid w:val="00B5419D"/>
    <w:rsid w:val="00BA44A0"/>
    <w:rsid w:val="00CA7A17"/>
    <w:rsid w:val="00CC784F"/>
    <w:rsid w:val="00CE38D1"/>
    <w:rsid w:val="00D217C1"/>
    <w:rsid w:val="00D75BA1"/>
    <w:rsid w:val="00DA5D75"/>
    <w:rsid w:val="00DB022D"/>
    <w:rsid w:val="00E32679"/>
    <w:rsid w:val="00E61F93"/>
    <w:rsid w:val="00F07315"/>
    <w:rsid w:val="00FA0DF1"/>
    <w:rsid w:val="00FB12F9"/>
    <w:rsid w:val="00F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22D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1591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591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591E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591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591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591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591E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CE38D1"/>
    <w:pPr>
      <w:ind w:left="720"/>
      <w:contextualSpacing/>
    </w:pPr>
  </w:style>
  <w:style w:type="table" w:styleId="Tabelraster">
    <w:name w:val="Table Grid"/>
    <w:basedOn w:val="Standaardtabel"/>
    <w:uiPriority w:val="59"/>
    <w:rsid w:val="00E3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61F9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1F93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61F9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1F93"/>
    <w:rPr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E61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22D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1591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591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591E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591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591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591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591E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CE38D1"/>
    <w:pPr>
      <w:ind w:left="720"/>
      <w:contextualSpacing/>
    </w:pPr>
  </w:style>
  <w:style w:type="table" w:styleId="Tabelraster">
    <w:name w:val="Table Grid"/>
    <w:basedOn w:val="Standaardtabel"/>
    <w:uiPriority w:val="59"/>
    <w:rsid w:val="00E3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61F9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1F93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61F9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1F93"/>
    <w:rPr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E6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DBA9C84B8F94A9C80027D4A7C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E042E-4419-4C4F-B406-94AB214CD4A1}"/>
      </w:docPartPr>
      <w:docPartBody>
        <w:p w:rsidR="00725308" w:rsidRDefault="00725308" w:rsidP="00725308">
          <w:pPr>
            <w:pStyle w:val="DF3DBA9C84B8F94A9C80027D4A7CD3B8"/>
          </w:pPr>
          <w:r>
            <w:t>[Type text]</w:t>
          </w:r>
        </w:p>
      </w:docPartBody>
    </w:docPart>
    <w:docPart>
      <w:docPartPr>
        <w:name w:val="4686E96E2F862542BE07A9B6A5977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0EF2-3AA1-DF4A-A1F4-A34C64C22B31}"/>
      </w:docPartPr>
      <w:docPartBody>
        <w:p w:rsidR="00725308" w:rsidRDefault="00725308" w:rsidP="00725308">
          <w:pPr>
            <w:pStyle w:val="4686E96E2F862542BE07A9B6A5977E91"/>
          </w:pPr>
          <w:r>
            <w:t>[Type text]</w:t>
          </w:r>
        </w:p>
      </w:docPartBody>
    </w:docPart>
    <w:docPart>
      <w:docPartPr>
        <w:name w:val="26C8067A5775C445800012A427B2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D275-D0C1-BA4C-ACBF-8E423F3BB22D}"/>
      </w:docPartPr>
      <w:docPartBody>
        <w:p w:rsidR="00725308" w:rsidRDefault="00725308" w:rsidP="00725308">
          <w:pPr>
            <w:pStyle w:val="26C8067A5775C445800012A427B2265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08"/>
    <w:rsid w:val="001D66C0"/>
    <w:rsid w:val="006A39BD"/>
    <w:rsid w:val="00725308"/>
    <w:rsid w:val="00B052DB"/>
    <w:rsid w:val="00D5004F"/>
    <w:rsid w:val="00E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F3DBA9C84B8F94A9C80027D4A7CD3B8">
    <w:name w:val="DF3DBA9C84B8F94A9C80027D4A7CD3B8"/>
    <w:rsid w:val="00725308"/>
  </w:style>
  <w:style w:type="paragraph" w:customStyle="1" w:styleId="4686E96E2F862542BE07A9B6A5977E91">
    <w:name w:val="4686E96E2F862542BE07A9B6A5977E91"/>
    <w:rsid w:val="00725308"/>
  </w:style>
  <w:style w:type="paragraph" w:customStyle="1" w:styleId="26C8067A5775C445800012A427B22659">
    <w:name w:val="26C8067A5775C445800012A427B22659"/>
    <w:rsid w:val="00725308"/>
  </w:style>
  <w:style w:type="paragraph" w:customStyle="1" w:styleId="B6709B550BC69547B7F48B5E84B46E31">
    <w:name w:val="B6709B550BC69547B7F48B5E84B46E31"/>
    <w:rsid w:val="00725308"/>
  </w:style>
  <w:style w:type="paragraph" w:customStyle="1" w:styleId="819C8C1DA286274C8A5C7BE8B0F52F8F">
    <w:name w:val="819C8C1DA286274C8A5C7BE8B0F52F8F"/>
    <w:rsid w:val="00725308"/>
  </w:style>
  <w:style w:type="paragraph" w:customStyle="1" w:styleId="2A167D6F43F88D4F983FD0631863CD1D">
    <w:name w:val="2A167D6F43F88D4F983FD0631863CD1D"/>
    <w:rsid w:val="007253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F3DBA9C84B8F94A9C80027D4A7CD3B8">
    <w:name w:val="DF3DBA9C84B8F94A9C80027D4A7CD3B8"/>
    <w:rsid w:val="00725308"/>
  </w:style>
  <w:style w:type="paragraph" w:customStyle="1" w:styleId="4686E96E2F862542BE07A9B6A5977E91">
    <w:name w:val="4686E96E2F862542BE07A9B6A5977E91"/>
    <w:rsid w:val="00725308"/>
  </w:style>
  <w:style w:type="paragraph" w:customStyle="1" w:styleId="26C8067A5775C445800012A427B22659">
    <w:name w:val="26C8067A5775C445800012A427B22659"/>
    <w:rsid w:val="00725308"/>
  </w:style>
  <w:style w:type="paragraph" w:customStyle="1" w:styleId="B6709B550BC69547B7F48B5E84B46E31">
    <w:name w:val="B6709B550BC69547B7F48B5E84B46E31"/>
    <w:rsid w:val="00725308"/>
  </w:style>
  <w:style w:type="paragraph" w:customStyle="1" w:styleId="819C8C1DA286274C8A5C7BE8B0F52F8F">
    <w:name w:val="819C8C1DA286274C8A5C7BE8B0F52F8F"/>
    <w:rsid w:val="00725308"/>
  </w:style>
  <w:style w:type="paragraph" w:customStyle="1" w:styleId="2A167D6F43F88D4F983FD0631863CD1D">
    <w:name w:val="2A167D6F43F88D4F983FD0631863CD1D"/>
    <w:rsid w:val="00725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B45A8E-8FBF-48A2-B53A-7EC07811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MHRA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Gobat</dc:creator>
  <cp:lastModifiedBy>Peuteman Karen</cp:lastModifiedBy>
  <cp:revision>1</cp:revision>
  <dcterms:created xsi:type="dcterms:W3CDTF">2017-06-06T12:03:00Z</dcterms:created>
  <dcterms:modified xsi:type="dcterms:W3CDTF">2017-06-06T12:03:00Z</dcterms:modified>
</cp:coreProperties>
</file>