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C2" w:rsidRPr="007109C2" w:rsidRDefault="007109C2" w:rsidP="007109C2">
      <w:pPr>
        <w:pStyle w:val="Bijschrift"/>
        <w:keepNext/>
        <w:jc w:val="center"/>
        <w:rPr>
          <w:color w:val="000000" w:themeColor="text1"/>
        </w:rPr>
      </w:pPr>
      <w:r w:rsidRPr="007109C2">
        <w:rPr>
          <w:color w:val="000000" w:themeColor="text1"/>
        </w:rPr>
        <w:t xml:space="preserve">Table </w:t>
      </w:r>
      <w:r w:rsidRPr="007109C2">
        <w:rPr>
          <w:color w:val="000000" w:themeColor="text1"/>
        </w:rPr>
        <w:fldChar w:fldCharType="begin"/>
      </w:r>
      <w:r w:rsidRPr="007109C2">
        <w:rPr>
          <w:color w:val="000000" w:themeColor="text1"/>
        </w:rPr>
        <w:instrText xml:space="preserve"> SEQ Table \* ARABIC </w:instrText>
      </w:r>
      <w:r w:rsidRPr="007109C2">
        <w:rPr>
          <w:color w:val="000000" w:themeColor="text1"/>
        </w:rPr>
        <w:fldChar w:fldCharType="separate"/>
      </w:r>
      <w:r w:rsidRPr="007109C2">
        <w:rPr>
          <w:noProof/>
          <w:color w:val="000000" w:themeColor="text1"/>
        </w:rPr>
        <w:t>1</w:t>
      </w:r>
      <w:r w:rsidRPr="007109C2">
        <w:rPr>
          <w:color w:val="000000" w:themeColor="text1"/>
        </w:rPr>
        <w:fldChar w:fldCharType="end"/>
      </w:r>
      <w:r w:rsidRPr="007109C2">
        <w:rPr>
          <w:color w:val="000000" w:themeColor="text1"/>
        </w:rPr>
        <w:t>: EARL barriers and potential solutions</w:t>
      </w:r>
    </w:p>
    <w:tbl>
      <w:tblPr>
        <w:tblStyle w:val="Lichtelijst-accent6"/>
        <w:tblW w:w="5000" w:type="pct"/>
        <w:tblLayout w:type="fixed"/>
        <w:tblLook w:val="0020" w:firstRow="1" w:lastRow="0" w:firstColumn="0" w:lastColumn="0" w:noHBand="0" w:noVBand="0"/>
      </w:tblPr>
      <w:tblGrid>
        <w:gridCol w:w="5918"/>
        <w:gridCol w:w="9698"/>
      </w:tblGrid>
      <w:tr w:rsidR="0034219E" w:rsidRPr="0034219E" w:rsidTr="00051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7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center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BARRIER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TOWARD A SOLUTION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  <w:shd w:val="clear" w:color="auto" w:fill="auto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Funding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- Barriers related to access to funding and flexibility of contracts </w:t>
            </w:r>
          </w:p>
        </w:tc>
        <w:tc>
          <w:tcPr>
            <w:tcW w:w="3105" w:type="pct"/>
            <w:shd w:val="clear" w:color="auto" w:fill="auto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Rapid access to prioritized research funding (</w:t>
            </w:r>
            <w:proofErr w:type="spellStart"/>
            <w:r w:rsidRPr="0034219E">
              <w:rPr>
                <w:sz w:val="18"/>
                <w:szCs w:val="18"/>
              </w:rPr>
              <w:t>GloPID</w:t>
            </w:r>
            <w:proofErr w:type="spellEnd"/>
            <w:r w:rsidRPr="0034219E">
              <w:rPr>
                <w:sz w:val="18"/>
                <w:szCs w:val="18"/>
              </w:rPr>
              <w:t>-R)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Prioritisation of funding specifically for pandemic studies (e.g. NIHR HTA)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Lobbying for funding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 xml:space="preserve">4. </w:t>
            </w:r>
            <w:r w:rsidRPr="0034219E">
              <w:rPr>
                <w:sz w:val="18"/>
                <w:szCs w:val="18"/>
              </w:rPr>
              <w:t xml:space="preserve">A rapidly prioritised research agenda by expert panel to focus the scientific response and identify priorities for funding. 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5.</w:t>
            </w:r>
            <w:r w:rsidRPr="0034219E">
              <w:rPr>
                <w:sz w:val="18"/>
                <w:szCs w:val="18"/>
              </w:rPr>
              <w:t xml:space="preserve"> Contracts that allow flexible and rapid movement of funds between European project partner Institutions for pandemic research response. 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Protocol development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Time delay related to study planning, protocol development and development of study materials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Pre-identification of research question, study methods, standardised case definitions, participant information, consent forms in pre-approved,  “sleeping “ protocols.  A well-developed study maintenance plan to ensure readiness.  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2. Pre-approval of protocols included in international guidelines for pandemic clinical research preparedness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3..</w:t>
            </w:r>
            <w:r w:rsidRPr="0034219E">
              <w:rPr>
                <w:sz w:val="18"/>
                <w:szCs w:val="18"/>
              </w:rPr>
              <w:t xml:space="preserve"> Universally agreed case definitions, pre-approved protocols, case report forms, data collection forms, adverse event reporting (ISARIC). 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4. Set-up of studies during inter-pandemic peacetime.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5. Use of novel trial designs e.g. platform trials, adaptive design 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 xml:space="preserve">Ethical and regulatory approvals 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Time delays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Lack of harmonisation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Fast-track ethical/regulatory approvals specific to emerging outbreaks/epidemics/pandemics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Pre-approvals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Regulatory changes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Set-up of specific ethics boards, develop close relationship and training of ethics boards/regulators (e.g. novel trial design, pandemic research)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Contracting and Sponsorship</w:t>
            </w:r>
          </w:p>
          <w:p w:rsidR="0034219E" w:rsidRPr="00051C99" w:rsidRDefault="0034219E" w:rsidP="00051C99">
            <w:pPr>
              <w:pStyle w:val="Lijstalinea"/>
              <w:numPr>
                <w:ilvl w:val="0"/>
                <w:numId w:val="10"/>
              </w:num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Time delays</w:t>
            </w:r>
            <w:r w:rsidR="00051C99">
              <w:rPr>
                <w:sz w:val="18"/>
                <w:szCs w:val="18"/>
              </w:rPr>
              <w:t xml:space="preserve">; </w:t>
            </w:r>
            <w:r w:rsidRPr="00051C99">
              <w:rPr>
                <w:sz w:val="18"/>
                <w:szCs w:val="18"/>
              </w:rPr>
              <w:t>Variable practice across countries, regions and institutions</w:t>
            </w:r>
            <w:r w:rsidR="00051C99">
              <w:rPr>
                <w:sz w:val="18"/>
                <w:szCs w:val="18"/>
              </w:rPr>
              <w:t xml:space="preserve">; </w:t>
            </w:r>
            <w:r w:rsidRPr="00051C99">
              <w:rPr>
                <w:sz w:val="18"/>
                <w:szCs w:val="18"/>
              </w:rPr>
              <w:t xml:space="preserve">Varied perception of risk 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 xml:space="preserve">1. </w:t>
            </w:r>
            <w:r w:rsidRPr="0034219E">
              <w:rPr>
                <w:sz w:val="18"/>
                <w:szCs w:val="18"/>
              </w:rPr>
              <w:t>Pre-approved contracts (at least agreement of generic phrases across Institutions and countries)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Closer liaison with Sponsor/Contracts teams and provision of training (e.g. risk </w:t>
            </w:r>
            <w:r w:rsidR="00051C99">
              <w:rPr>
                <w:sz w:val="18"/>
                <w:szCs w:val="18"/>
              </w:rPr>
              <w:t>of research, research scenarios</w:t>
            </w:r>
            <w:r w:rsidRPr="0034219E">
              <w:rPr>
                <w:sz w:val="18"/>
                <w:szCs w:val="18"/>
              </w:rPr>
              <w:t>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Agreement that is accepted by all countries and ‘one shop’ approval for all member states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Recruitment of study sites and recruiters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</w:p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Development of research networks, e.g. GRACE, PREPARE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Local mentors (experienced recruiters to act as local research champions to engage other sites)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Identification of issues that are impeding pandemic research in specific areas (e.g. paediatric research)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Research ready research network and trained staff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Pandemic research response requires established research networks and trained staff with capacity to conduct research in pandemic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Established PREPARE research networks across Europe (primary, secondary and tertiary care, participant specific (e.g. children)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Dedicated research task force with adequate research capacity to conduct research in pandemic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Preparation of training materials and rapid, focused training mechanisms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Tracking of trained staff, identification of replacement staff (where necessary) and regular updating of training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Relationship with Public Health agencies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- Research effort must be aligned to first line national/ global public health response teams 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Established working relationships with Public Health/Health Protection/Emergency Response teams who respond to pandemics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Participant identification</w:t>
            </w:r>
          </w:p>
          <w:p w:rsidR="0034219E" w:rsidRPr="0034219E" w:rsidRDefault="0034219E" w:rsidP="00051C99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-In some cases e.g. influenza, the public have had messages to ‘stay away fr</w:t>
            </w:r>
            <w:r>
              <w:rPr>
                <w:sz w:val="18"/>
                <w:szCs w:val="18"/>
              </w:rPr>
              <w:t xml:space="preserve">om primary care’ and self-care, so </w:t>
            </w:r>
            <w:r w:rsidRPr="0034219E">
              <w:rPr>
                <w:sz w:val="18"/>
                <w:szCs w:val="18"/>
              </w:rPr>
              <w:t>may not present to clinical recruiting site unless very sick or too late in clinical course for medication impact (antivi</w:t>
            </w:r>
            <w:r w:rsidR="00051C99">
              <w:rPr>
                <w:sz w:val="18"/>
                <w:szCs w:val="18"/>
              </w:rPr>
              <w:t xml:space="preserve">rals in first 3 days); Clinical trials costly - </w:t>
            </w:r>
            <w:r w:rsidRPr="0034219E">
              <w:rPr>
                <w:sz w:val="18"/>
                <w:szCs w:val="18"/>
              </w:rPr>
              <w:t>ideally only those patients with a confirmed co</w:t>
            </w:r>
            <w:r>
              <w:rPr>
                <w:sz w:val="18"/>
                <w:szCs w:val="18"/>
              </w:rPr>
              <w:t xml:space="preserve">ndition would be recruited. </w:t>
            </w:r>
            <w:r w:rsidR="00051C99">
              <w:rPr>
                <w:sz w:val="18"/>
                <w:szCs w:val="18"/>
              </w:rPr>
              <w:t>But c</w:t>
            </w:r>
            <w:r w:rsidRPr="0034219E">
              <w:rPr>
                <w:sz w:val="18"/>
                <w:szCs w:val="18"/>
              </w:rPr>
              <w:t xml:space="preserve">linical symptoms are non-specific and </w:t>
            </w:r>
            <w:r w:rsidR="00051C99">
              <w:rPr>
                <w:sz w:val="18"/>
                <w:szCs w:val="18"/>
              </w:rPr>
              <w:t>identifying</w:t>
            </w:r>
            <w:r w:rsidRPr="0034219E">
              <w:rPr>
                <w:sz w:val="18"/>
                <w:szCs w:val="18"/>
              </w:rPr>
              <w:t xml:space="preserve"> patients who have the condition of interest</w:t>
            </w:r>
            <w:r w:rsidR="00051C99">
              <w:rPr>
                <w:sz w:val="18"/>
                <w:szCs w:val="18"/>
              </w:rPr>
              <w:t xml:space="preserve"> challenging. 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Learning lessons from PREPARE studies (innovative participant identification)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Involvement of professional groups in addition to   teams in clinical setting (e.g. pharmacy staff)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Local ‘public engagement’ campaigns (various media)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Optimising information provision to potential participants with sign-posting to recruitment site (e.g. cascade through public health information channels, families, influenza clinics, pharmacies)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5.</w:t>
            </w:r>
            <w:r w:rsidRPr="0034219E">
              <w:rPr>
                <w:sz w:val="18"/>
                <w:szCs w:val="18"/>
              </w:rPr>
              <w:t xml:space="preserve"> Development of specific and sensitive diagnostic tests for the identification of new and emerging diseases (especially viral diseases).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6.</w:t>
            </w:r>
            <w:r w:rsidRPr="0034219E">
              <w:rPr>
                <w:sz w:val="18"/>
                <w:szCs w:val="18"/>
              </w:rPr>
              <w:t xml:space="preserve"> Development of universally agreed case definitions (special panel that can be rapidly convened).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Participant recruitment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-Participant recruitment is one of the major obstacles to successful studies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Recruitment poses a significant barrier in relation to time and capacity of recruiting clinicians.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Recruitment of participants considered a ‘vulnerable population’ – e.g. paediatrics or pregnant women in studies: recruiters may be nervous of recruiting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Capturing all potential patients to increase internal and external validity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Design of research studies that answer/consider questions that are perceived as important by members of the public (potential participants) and clinicians (potential recruiters).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Design of research procedures (e.g. alternative consent) that are acceptable to all key stakeholders: ethics boards, potential participants, clinicians, researchers, (and potentially public health bodies).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Identification of ways to expedite research (e.g. alternative enrolment procedures, recruitment by non-clinicians e.g. trained medical students or other health professionals like pharmacists).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Design research that considers/implements community engagement strategies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5.</w:t>
            </w:r>
            <w:r w:rsidRPr="0034219E">
              <w:rPr>
                <w:sz w:val="18"/>
                <w:szCs w:val="18"/>
              </w:rPr>
              <w:t xml:space="preserve"> Design of studies that minimise the number of participants that are needed to recruit for successful outcome (adaptive, platform trials).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6. Embedding clinical research into clinical practice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Access to routine clinical samples and data for research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Consent not normally in place to use (anonymised) routine clinical data, excess clinical samples (blood, swabs) or samples collected for surveillance/public health measures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- Excess clinical samples not routinely stored (lack of </w:t>
            </w:r>
            <w:proofErr w:type="spellStart"/>
            <w:r w:rsidRPr="0034219E">
              <w:rPr>
                <w:sz w:val="18"/>
                <w:szCs w:val="18"/>
              </w:rPr>
              <w:t>Biobanking</w:t>
            </w:r>
            <w:proofErr w:type="spellEnd"/>
            <w:r w:rsidRPr="0034219E">
              <w:rPr>
                <w:sz w:val="18"/>
                <w:szCs w:val="18"/>
              </w:rPr>
              <w:t xml:space="preserve"> facilities) or not stored in consistent and optimal ways 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 xml:space="preserve">-There can be legal and technical (country specific) problems with export of data 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 Implement and promote collection of biological samples and data for research in clinical settings.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Putting in place an acceptable and feasible consent process that can be used within clinical care process and is acceptable to all stakeholders (Research consent as part of clinical consent)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Pre-approved research materials (posters, patient information and consent forms (ideally should cover DNA research – genetic markers of risk groups and personalised medicine).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Pre-approved protocols to enable colle</w:t>
            </w:r>
            <w:r>
              <w:rPr>
                <w:sz w:val="18"/>
                <w:szCs w:val="18"/>
              </w:rPr>
              <w:t>ction of standardised data; and</w:t>
            </w:r>
            <w:r w:rsidRPr="0034219E">
              <w:rPr>
                <w:sz w:val="18"/>
                <w:szCs w:val="18"/>
              </w:rPr>
              <w:t xml:space="preserve"> collection and storage of samples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5.</w:t>
            </w:r>
            <w:r w:rsidRPr="0034219E">
              <w:rPr>
                <w:sz w:val="18"/>
                <w:szCs w:val="18"/>
              </w:rPr>
              <w:t xml:space="preserve"> Training of clinical staff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6.</w:t>
            </w:r>
            <w:r w:rsidRPr="0034219E">
              <w:rPr>
                <w:sz w:val="18"/>
                <w:szCs w:val="18"/>
              </w:rPr>
              <w:t xml:space="preserve"> Engagement with public health/clinical process decision makers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7.</w:t>
            </w:r>
            <w:r w:rsidRPr="0034219E">
              <w:rPr>
                <w:sz w:val="18"/>
                <w:szCs w:val="18"/>
              </w:rPr>
              <w:t xml:space="preserve"> Developing </w:t>
            </w:r>
            <w:proofErr w:type="spellStart"/>
            <w:r w:rsidRPr="0034219E">
              <w:rPr>
                <w:sz w:val="18"/>
                <w:szCs w:val="18"/>
              </w:rPr>
              <w:t>Biobanking</w:t>
            </w:r>
            <w:proofErr w:type="spellEnd"/>
            <w:r w:rsidRPr="0034219E">
              <w:rPr>
                <w:sz w:val="18"/>
                <w:szCs w:val="18"/>
              </w:rPr>
              <w:t xml:space="preserve"> facilities and processes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Preparedness of Laboratories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Lack of diagnostics capability (staffing, equipment and relevant training), lack of standardized protocols, inadequate tests and sample accessibility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Engagement of laboratories and assessment of capability and requirements 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Pre-approved standardized protocols for collection, storing and sharing of samples and data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Staff training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Logistics (sample transport and sharing – necessary for diagnostics and potentially vaccine development)</w:t>
            </w:r>
          </w:p>
        </w:tc>
      </w:tr>
      <w:tr w:rsidR="0034219E" w:rsidRPr="0034219E" w:rsidTr="00051C9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New vaccines /medications (IMP) in trials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-Potential logistical hurdles may be encountered in production of new vaccines/medication (can take 6 months and many steps with</w:t>
            </w:r>
            <w:r>
              <w:rPr>
                <w:sz w:val="18"/>
                <w:szCs w:val="18"/>
              </w:rPr>
              <w:t xml:space="preserve"> country specific differences); </w:t>
            </w:r>
            <w:r w:rsidRPr="0034219E">
              <w:rPr>
                <w:sz w:val="18"/>
                <w:szCs w:val="18"/>
              </w:rPr>
              <w:t>Availability of IMP for research and IMP storage for research may be issue in pandemic</w:t>
            </w:r>
            <w:r>
              <w:rPr>
                <w:sz w:val="18"/>
                <w:szCs w:val="18"/>
              </w:rPr>
              <w:t xml:space="preserve">. </w:t>
            </w:r>
            <w:r w:rsidRPr="003421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Learn lessons from seasonal influenza vaccine delivery and implement clear procedures for pandemic research requiring vaccines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Understand how supplies are tracked and track supply chains to avoid running out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Consider alternatives and substitutions.</w:t>
            </w:r>
          </w:p>
        </w:tc>
      </w:tr>
      <w:tr w:rsidR="0034219E" w:rsidRPr="0034219E" w:rsidTr="00051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5" w:type="pct"/>
          </w:tcPr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Capability of systems to pivot to response mode in the event of a pandemic</w:t>
            </w:r>
          </w:p>
          <w:p w:rsidR="0034219E" w:rsidRPr="0034219E" w:rsidRDefault="0034219E" w:rsidP="0034219E">
            <w:pPr>
              <w:spacing w:before="3" w:after="3"/>
              <w:jc w:val="left"/>
              <w:rPr>
                <w:b/>
                <w:sz w:val="18"/>
                <w:szCs w:val="18"/>
              </w:rPr>
            </w:pPr>
            <w:r w:rsidRPr="0034219E">
              <w:rPr>
                <w:sz w:val="18"/>
                <w:szCs w:val="18"/>
              </w:rPr>
              <w:t>-  Relevant to ‘peacetime’ st</w:t>
            </w:r>
            <w:r>
              <w:rPr>
                <w:sz w:val="18"/>
                <w:szCs w:val="18"/>
              </w:rPr>
              <w:t xml:space="preserve">udies and ‘sleeping protocols’ - can be resource intensive; </w:t>
            </w:r>
            <w:r w:rsidRPr="0034219E">
              <w:rPr>
                <w:sz w:val="18"/>
                <w:szCs w:val="18"/>
              </w:rPr>
              <w:t xml:space="preserve">should be </w:t>
            </w:r>
            <w:r>
              <w:rPr>
                <w:sz w:val="18"/>
                <w:szCs w:val="18"/>
              </w:rPr>
              <w:t xml:space="preserve">planned and tested. </w:t>
            </w:r>
          </w:p>
        </w:tc>
        <w:tc>
          <w:tcPr>
            <w:tcW w:w="3105" w:type="pct"/>
          </w:tcPr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1.</w:t>
            </w:r>
            <w:r w:rsidRPr="0034219E">
              <w:rPr>
                <w:sz w:val="18"/>
                <w:szCs w:val="18"/>
              </w:rPr>
              <w:t xml:space="preserve">  Design and implementation of platform/adaptive trials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2.</w:t>
            </w:r>
            <w:r w:rsidRPr="0034219E">
              <w:rPr>
                <w:sz w:val="18"/>
                <w:szCs w:val="18"/>
              </w:rPr>
              <w:t xml:space="preserve"> Regular contingency planning and testing (peacetime trials and sleeping protocols)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3.</w:t>
            </w:r>
            <w:r w:rsidRPr="0034219E">
              <w:rPr>
                <w:sz w:val="18"/>
                <w:szCs w:val="18"/>
              </w:rPr>
              <w:t xml:space="preserve"> Ensure communications with outbreak committees (e.g. WHO and Public health Response teams)</w:t>
            </w:r>
          </w:p>
          <w:p w:rsidR="0034219E" w:rsidRPr="0034219E" w:rsidRDefault="0034219E" w:rsidP="0034219E">
            <w:pPr>
              <w:spacing w:before="3" w:after="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4219E">
              <w:rPr>
                <w:b/>
                <w:sz w:val="18"/>
                <w:szCs w:val="18"/>
              </w:rPr>
              <w:t>4.</w:t>
            </w:r>
            <w:r w:rsidRPr="0034219E">
              <w:rPr>
                <w:sz w:val="18"/>
                <w:szCs w:val="18"/>
              </w:rPr>
              <w:t xml:space="preserve"> Consider location of trials: High incidence/outbreak risk settings</w:t>
            </w:r>
          </w:p>
        </w:tc>
      </w:tr>
    </w:tbl>
    <w:p w:rsidR="00F576BC" w:rsidRDefault="00F576BC" w:rsidP="00051C99"/>
    <w:sectPr w:rsidR="00F576BC" w:rsidSect="0034219E">
      <w:footerReference w:type="even" r:id="rId9"/>
      <w:footerReference w:type="default" r:id="rId10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A4" w:rsidRDefault="005774A4" w:rsidP="0034219E">
      <w:pPr>
        <w:spacing w:before="0" w:after="0" w:line="240" w:lineRule="auto"/>
      </w:pPr>
      <w:r>
        <w:separator/>
      </w:r>
    </w:p>
  </w:endnote>
  <w:endnote w:type="continuationSeparator" w:id="0">
    <w:p w:rsidR="005774A4" w:rsidRDefault="005774A4" w:rsidP="0034219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9" w:rsidRDefault="005774A4">
    <w:pPr>
      <w:pStyle w:val="Voettekst"/>
    </w:pPr>
    <w:sdt>
      <w:sdtPr>
        <w:id w:val="969400743"/>
        <w:placeholder>
          <w:docPart w:val="2D6B6CE2761F4F46B1039F59C4424A4F"/>
        </w:placeholder>
        <w:temporary/>
        <w:showingPlcHdr/>
      </w:sdtPr>
      <w:sdtEndPr/>
      <w:sdtContent>
        <w:r w:rsidR="00051C99">
          <w:t>[Type text]</w:t>
        </w:r>
      </w:sdtContent>
    </w:sdt>
    <w:r w:rsidR="00051C99">
      <w:ptab w:relativeTo="margin" w:alignment="center" w:leader="none"/>
    </w:r>
    <w:sdt>
      <w:sdtPr>
        <w:id w:val="969400748"/>
        <w:placeholder>
          <w:docPart w:val="CD63DE21A7CD6349B0E05DBFD6C8D875"/>
        </w:placeholder>
        <w:temporary/>
        <w:showingPlcHdr/>
      </w:sdtPr>
      <w:sdtEndPr/>
      <w:sdtContent>
        <w:r w:rsidR="00051C99">
          <w:t>[Type text]</w:t>
        </w:r>
      </w:sdtContent>
    </w:sdt>
    <w:r w:rsidR="00051C99">
      <w:ptab w:relativeTo="margin" w:alignment="right" w:leader="none"/>
    </w:r>
    <w:sdt>
      <w:sdtPr>
        <w:id w:val="969400753"/>
        <w:placeholder>
          <w:docPart w:val="0F753F519DFF53458999CC068A04171B"/>
        </w:placeholder>
        <w:temporary/>
        <w:showingPlcHdr/>
      </w:sdtPr>
      <w:sdtEndPr/>
      <w:sdtContent>
        <w:r w:rsidR="00051C9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9" w:rsidRPr="0034219E" w:rsidRDefault="00051C99">
    <w:pPr>
      <w:pStyle w:val="Voettekst"/>
      <w:rPr>
        <w:sz w:val="18"/>
        <w:szCs w:val="18"/>
      </w:rPr>
    </w:pPr>
    <w:r>
      <w:rPr>
        <w:sz w:val="18"/>
        <w:szCs w:val="18"/>
      </w:rPr>
      <w:t xml:space="preserve">From PREPARE WP1: 36month report - ethical, administrative, regulatory and logistical (EARL) solutions.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A4" w:rsidRDefault="005774A4" w:rsidP="0034219E">
      <w:pPr>
        <w:spacing w:before="0" w:after="0" w:line="240" w:lineRule="auto"/>
      </w:pPr>
      <w:r>
        <w:separator/>
      </w:r>
    </w:p>
  </w:footnote>
  <w:footnote w:type="continuationSeparator" w:id="0">
    <w:p w:rsidR="005774A4" w:rsidRDefault="005774A4" w:rsidP="0034219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64B"/>
    <w:multiLevelType w:val="hybridMultilevel"/>
    <w:tmpl w:val="F096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4859B5"/>
    <w:multiLevelType w:val="hybridMultilevel"/>
    <w:tmpl w:val="74A8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9AD"/>
    <w:multiLevelType w:val="hybridMultilevel"/>
    <w:tmpl w:val="2A0A24F6"/>
    <w:lvl w:ilvl="0" w:tplc="C5025CA8">
      <w:start w:val="1"/>
      <w:numFmt w:val="bullet"/>
      <w:lvlText w:val="-"/>
      <w:lvlJc w:val="left"/>
      <w:pPr>
        <w:ind w:left="360" w:hanging="360"/>
      </w:pPr>
      <w:rPr>
        <w:rFonts w:ascii="Century Schoolbook" w:eastAsiaTheme="minorHAnsi" w:hAnsi="Century School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857A7A"/>
    <w:multiLevelType w:val="hybridMultilevel"/>
    <w:tmpl w:val="1A14D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D77FC"/>
    <w:multiLevelType w:val="hybridMultilevel"/>
    <w:tmpl w:val="B0E00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0E0C0C"/>
    <w:multiLevelType w:val="hybridMultilevel"/>
    <w:tmpl w:val="F820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E7634"/>
    <w:multiLevelType w:val="hybridMultilevel"/>
    <w:tmpl w:val="7296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87952"/>
    <w:multiLevelType w:val="hybridMultilevel"/>
    <w:tmpl w:val="9958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6C6AE3"/>
    <w:multiLevelType w:val="hybridMultilevel"/>
    <w:tmpl w:val="A134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3668D"/>
    <w:multiLevelType w:val="hybridMultilevel"/>
    <w:tmpl w:val="F2C61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9E"/>
    <w:rsid w:val="00051C99"/>
    <w:rsid w:val="0008374D"/>
    <w:rsid w:val="0033781F"/>
    <w:rsid w:val="0034219E"/>
    <w:rsid w:val="0045286F"/>
    <w:rsid w:val="004A0BE9"/>
    <w:rsid w:val="005774A4"/>
    <w:rsid w:val="007109C2"/>
    <w:rsid w:val="008B10D0"/>
    <w:rsid w:val="00F576BC"/>
    <w:rsid w:val="00FB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 text"/>
    <w:qFormat/>
    <w:rsid w:val="0034219E"/>
    <w:pPr>
      <w:spacing w:before="120" w:after="240" w:line="276" w:lineRule="auto"/>
      <w:jc w:val="both"/>
    </w:pPr>
    <w:rPr>
      <w:rFonts w:ascii="Century Schoolbook" w:eastAsiaTheme="minorHAnsi" w:hAnsi="Century Schoolbook"/>
      <w:sz w:val="21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34219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1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19E"/>
    <w:rPr>
      <w:rFonts w:ascii="Century Schoolbook" w:eastAsiaTheme="minorHAnsi" w:hAnsi="Century Schoolbook"/>
      <w:sz w:val="20"/>
      <w:szCs w:val="20"/>
      <w:lang w:val="en-GB"/>
    </w:rPr>
  </w:style>
  <w:style w:type="table" w:styleId="Lichtelijst-accent6">
    <w:name w:val="Light List Accent 6"/>
    <w:basedOn w:val="Standaardtabel"/>
    <w:uiPriority w:val="61"/>
    <w:rsid w:val="0034219E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4219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4219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7109C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ody text"/>
    <w:qFormat/>
    <w:rsid w:val="0034219E"/>
    <w:pPr>
      <w:spacing w:before="120" w:after="240" w:line="276" w:lineRule="auto"/>
      <w:jc w:val="both"/>
    </w:pPr>
    <w:rPr>
      <w:rFonts w:ascii="Century Schoolbook" w:eastAsiaTheme="minorHAnsi" w:hAnsi="Century Schoolbook"/>
      <w:sz w:val="21"/>
      <w:szCs w:val="22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34219E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Tekstopmerking">
    <w:name w:val="annotation text"/>
    <w:basedOn w:val="Standaard"/>
    <w:link w:val="TekstopmerkingChar"/>
    <w:uiPriority w:val="99"/>
    <w:unhideWhenUsed/>
    <w:rsid w:val="003421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4219E"/>
    <w:rPr>
      <w:rFonts w:ascii="Century Schoolbook" w:eastAsiaTheme="minorHAnsi" w:hAnsi="Century Schoolbook"/>
      <w:sz w:val="20"/>
      <w:szCs w:val="20"/>
      <w:lang w:val="en-GB"/>
    </w:rPr>
  </w:style>
  <w:style w:type="table" w:styleId="Lichtelijst-accent6">
    <w:name w:val="Light List Accent 6"/>
    <w:basedOn w:val="Standaardtabel"/>
    <w:uiPriority w:val="61"/>
    <w:rsid w:val="0034219E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Koptekst">
    <w:name w:val="header"/>
    <w:basedOn w:val="Standaard"/>
    <w:link w:val="KoptekstChar"/>
    <w:uiPriority w:val="99"/>
    <w:unhideWhenUsed/>
    <w:rsid w:val="0034219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34219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19E"/>
    <w:rPr>
      <w:rFonts w:ascii="Century Schoolbook" w:eastAsiaTheme="minorHAnsi" w:hAnsi="Century Schoolbook"/>
      <w:sz w:val="21"/>
      <w:szCs w:val="22"/>
      <w:lang w:val="en-GB"/>
    </w:rPr>
  </w:style>
  <w:style w:type="paragraph" w:styleId="Bijschrift">
    <w:name w:val="caption"/>
    <w:basedOn w:val="Standaard"/>
    <w:next w:val="Standaard"/>
    <w:uiPriority w:val="35"/>
    <w:unhideWhenUsed/>
    <w:qFormat/>
    <w:rsid w:val="007109C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6B6CE2761F4F46B1039F59C442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4FFC7-842E-0A41-BABE-64AA6D6A0775}"/>
      </w:docPartPr>
      <w:docPartBody>
        <w:p w:rsidR="009A3D99" w:rsidRDefault="009A3D99" w:rsidP="009A3D99">
          <w:pPr>
            <w:pStyle w:val="2D6B6CE2761F4F46B1039F59C4424A4F"/>
          </w:pPr>
          <w:r>
            <w:t>[Type text]</w:t>
          </w:r>
        </w:p>
      </w:docPartBody>
    </w:docPart>
    <w:docPart>
      <w:docPartPr>
        <w:name w:val="CD63DE21A7CD6349B0E05DBFD6C8D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F9D6-FC11-974F-B1C5-698A8D874B59}"/>
      </w:docPartPr>
      <w:docPartBody>
        <w:p w:rsidR="009A3D99" w:rsidRDefault="009A3D99" w:rsidP="009A3D99">
          <w:pPr>
            <w:pStyle w:val="CD63DE21A7CD6349B0E05DBFD6C8D875"/>
          </w:pPr>
          <w:r>
            <w:t>[Type text]</w:t>
          </w:r>
        </w:p>
      </w:docPartBody>
    </w:docPart>
    <w:docPart>
      <w:docPartPr>
        <w:name w:val="0F753F519DFF53458999CC068A041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59DD-A6EB-084C-83E9-ABAFED9B1F48}"/>
      </w:docPartPr>
      <w:docPartBody>
        <w:p w:rsidR="009A3D99" w:rsidRDefault="009A3D99" w:rsidP="009A3D99">
          <w:pPr>
            <w:pStyle w:val="0F753F519DFF53458999CC068A04171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99"/>
    <w:rsid w:val="00843215"/>
    <w:rsid w:val="009A3D99"/>
    <w:rsid w:val="00B426A3"/>
    <w:rsid w:val="00D4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9A3D99"/>
    <w:pPr>
      <w:keepNext/>
      <w:pBdr>
        <w:bottom w:val="single" w:sz="4" w:space="1" w:color="FF7620"/>
      </w:pBdr>
      <w:tabs>
        <w:tab w:val="left" w:pos="720"/>
        <w:tab w:val="left" w:pos="1440"/>
      </w:tabs>
      <w:spacing w:before="120" w:after="240"/>
      <w:ind w:left="397"/>
      <w:jc w:val="both"/>
      <w:outlineLvl w:val="3"/>
    </w:pPr>
    <w:rPr>
      <w:rFonts w:ascii="Arial" w:eastAsiaTheme="minorHAnsi" w:hAnsi="Arial" w:cs="Arial"/>
      <w:b/>
      <w:color w:val="E36C0A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6B6CE2761F4F46B1039F59C4424A4F">
    <w:name w:val="2D6B6CE2761F4F46B1039F59C4424A4F"/>
    <w:rsid w:val="009A3D99"/>
  </w:style>
  <w:style w:type="paragraph" w:customStyle="1" w:styleId="CD63DE21A7CD6349B0E05DBFD6C8D875">
    <w:name w:val="CD63DE21A7CD6349B0E05DBFD6C8D875"/>
    <w:rsid w:val="009A3D99"/>
  </w:style>
  <w:style w:type="paragraph" w:customStyle="1" w:styleId="0F753F519DFF53458999CC068A04171B">
    <w:name w:val="0F753F519DFF53458999CC068A04171B"/>
    <w:rsid w:val="009A3D99"/>
  </w:style>
  <w:style w:type="paragraph" w:customStyle="1" w:styleId="E142647B3A58004E9EF2DED8D9F25F27">
    <w:name w:val="E142647B3A58004E9EF2DED8D9F25F27"/>
    <w:rsid w:val="009A3D99"/>
  </w:style>
  <w:style w:type="paragraph" w:customStyle="1" w:styleId="8AD702050FDD1F4482E4D8FE3E0D0792">
    <w:name w:val="8AD702050FDD1F4482E4D8FE3E0D0792"/>
    <w:rsid w:val="009A3D99"/>
  </w:style>
  <w:style w:type="paragraph" w:customStyle="1" w:styleId="92CDA452A661114ABE26144A60D4D1BC">
    <w:name w:val="92CDA452A661114ABE26144A60D4D1BC"/>
    <w:rsid w:val="009A3D99"/>
  </w:style>
  <w:style w:type="character" w:styleId="Tekstvantijdelijkeaanduiding">
    <w:name w:val="Placeholder Text"/>
    <w:basedOn w:val="Standaardalinea-lettertype"/>
    <w:uiPriority w:val="99"/>
    <w:semiHidden/>
    <w:rsid w:val="009A3D99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9A3D99"/>
    <w:pPr>
      <w:spacing w:line="276" w:lineRule="auto"/>
      <w:jc w:val="right"/>
    </w:pPr>
    <w:rPr>
      <w:rFonts w:ascii="Arial" w:eastAsiaTheme="minorHAnsi" w:hAnsi="Arial" w:cs="Arial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A3D99"/>
    <w:rPr>
      <w:rFonts w:ascii="Arial" w:eastAsiaTheme="minorHAnsi" w:hAnsi="Arial" w:cs="Arial"/>
      <w:sz w:val="48"/>
      <w:szCs w:val="48"/>
      <w:lang w:eastAsia="en-US"/>
    </w:rPr>
  </w:style>
  <w:style w:type="paragraph" w:customStyle="1" w:styleId="59B3D65CF6B5754EBECA1AFFCCB1D2A6">
    <w:name w:val="59B3D65CF6B5754EBECA1AFFCCB1D2A6"/>
    <w:rsid w:val="009A3D99"/>
  </w:style>
  <w:style w:type="character" w:customStyle="1" w:styleId="Kop4Char">
    <w:name w:val="Kop 4 Char"/>
    <w:basedOn w:val="Standaardalinea-lettertype"/>
    <w:link w:val="Kop4"/>
    <w:rsid w:val="009A3D99"/>
    <w:rPr>
      <w:rFonts w:ascii="Arial" w:eastAsiaTheme="minorHAnsi" w:hAnsi="Arial" w:cs="Arial"/>
      <w:b/>
      <w:color w:val="E36C0A"/>
      <w:sz w:val="22"/>
      <w:szCs w:val="22"/>
      <w:lang w:val="en-US" w:eastAsia="en-US"/>
    </w:rPr>
  </w:style>
  <w:style w:type="paragraph" w:customStyle="1" w:styleId="91ED54ECDE54524B9B23D9F7DC8AE29E">
    <w:name w:val="91ED54ECDE54524B9B23D9F7DC8AE29E"/>
    <w:rsid w:val="009A3D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4">
    <w:name w:val="heading 4"/>
    <w:basedOn w:val="Standaard"/>
    <w:next w:val="Standaard"/>
    <w:link w:val="Kop4Char"/>
    <w:qFormat/>
    <w:rsid w:val="009A3D99"/>
    <w:pPr>
      <w:keepNext/>
      <w:pBdr>
        <w:bottom w:val="single" w:sz="4" w:space="1" w:color="FF7620"/>
      </w:pBdr>
      <w:tabs>
        <w:tab w:val="left" w:pos="720"/>
        <w:tab w:val="left" w:pos="1440"/>
      </w:tabs>
      <w:spacing w:before="120" w:after="240"/>
      <w:ind w:left="397"/>
      <w:jc w:val="both"/>
      <w:outlineLvl w:val="3"/>
    </w:pPr>
    <w:rPr>
      <w:rFonts w:ascii="Arial" w:eastAsiaTheme="minorHAnsi" w:hAnsi="Arial" w:cs="Arial"/>
      <w:b/>
      <w:color w:val="E36C0A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D6B6CE2761F4F46B1039F59C4424A4F">
    <w:name w:val="2D6B6CE2761F4F46B1039F59C4424A4F"/>
    <w:rsid w:val="009A3D99"/>
  </w:style>
  <w:style w:type="paragraph" w:customStyle="1" w:styleId="CD63DE21A7CD6349B0E05DBFD6C8D875">
    <w:name w:val="CD63DE21A7CD6349B0E05DBFD6C8D875"/>
    <w:rsid w:val="009A3D99"/>
  </w:style>
  <w:style w:type="paragraph" w:customStyle="1" w:styleId="0F753F519DFF53458999CC068A04171B">
    <w:name w:val="0F753F519DFF53458999CC068A04171B"/>
    <w:rsid w:val="009A3D99"/>
  </w:style>
  <w:style w:type="paragraph" w:customStyle="1" w:styleId="E142647B3A58004E9EF2DED8D9F25F27">
    <w:name w:val="E142647B3A58004E9EF2DED8D9F25F27"/>
    <w:rsid w:val="009A3D99"/>
  </w:style>
  <w:style w:type="paragraph" w:customStyle="1" w:styleId="8AD702050FDD1F4482E4D8FE3E0D0792">
    <w:name w:val="8AD702050FDD1F4482E4D8FE3E0D0792"/>
    <w:rsid w:val="009A3D99"/>
  </w:style>
  <w:style w:type="paragraph" w:customStyle="1" w:styleId="92CDA452A661114ABE26144A60D4D1BC">
    <w:name w:val="92CDA452A661114ABE26144A60D4D1BC"/>
    <w:rsid w:val="009A3D99"/>
  </w:style>
  <w:style w:type="character" w:styleId="Tekstvantijdelijkeaanduiding">
    <w:name w:val="Placeholder Text"/>
    <w:basedOn w:val="Standaardalinea-lettertype"/>
    <w:uiPriority w:val="99"/>
    <w:semiHidden/>
    <w:rsid w:val="009A3D99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9A3D99"/>
    <w:pPr>
      <w:spacing w:line="276" w:lineRule="auto"/>
      <w:jc w:val="right"/>
    </w:pPr>
    <w:rPr>
      <w:rFonts w:ascii="Arial" w:eastAsiaTheme="minorHAnsi" w:hAnsi="Arial" w:cs="Arial"/>
      <w:sz w:val="48"/>
      <w:szCs w:val="48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A3D99"/>
    <w:rPr>
      <w:rFonts w:ascii="Arial" w:eastAsiaTheme="minorHAnsi" w:hAnsi="Arial" w:cs="Arial"/>
      <w:sz w:val="48"/>
      <w:szCs w:val="48"/>
      <w:lang w:eastAsia="en-US"/>
    </w:rPr>
  </w:style>
  <w:style w:type="paragraph" w:customStyle="1" w:styleId="59B3D65CF6B5754EBECA1AFFCCB1D2A6">
    <w:name w:val="59B3D65CF6B5754EBECA1AFFCCB1D2A6"/>
    <w:rsid w:val="009A3D99"/>
  </w:style>
  <w:style w:type="character" w:customStyle="1" w:styleId="Kop4Char">
    <w:name w:val="Kop 4 Char"/>
    <w:basedOn w:val="Standaardalinea-lettertype"/>
    <w:link w:val="Kop4"/>
    <w:rsid w:val="009A3D99"/>
    <w:rPr>
      <w:rFonts w:ascii="Arial" w:eastAsiaTheme="minorHAnsi" w:hAnsi="Arial" w:cs="Arial"/>
      <w:b/>
      <w:color w:val="E36C0A"/>
      <w:sz w:val="22"/>
      <w:szCs w:val="22"/>
      <w:lang w:val="en-US" w:eastAsia="en-US"/>
    </w:rPr>
  </w:style>
  <w:style w:type="paragraph" w:customStyle="1" w:styleId="91ED54ECDE54524B9B23D9F7DC8AE29E">
    <w:name w:val="91ED54ECDE54524B9B23D9F7DC8AE29E"/>
    <w:rsid w:val="009A3D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775CF2-FE01-4F50-A0B8-62C990AF6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1306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UA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Gobat</dc:creator>
  <cp:lastModifiedBy>Peuteman Karen</cp:lastModifiedBy>
  <cp:revision>1</cp:revision>
  <dcterms:created xsi:type="dcterms:W3CDTF">2017-06-06T12:02:00Z</dcterms:created>
  <dcterms:modified xsi:type="dcterms:W3CDTF">2017-06-06T12:02:00Z</dcterms:modified>
</cp:coreProperties>
</file>