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9C2" w:rsidRPr="007109C2" w:rsidRDefault="007109C2" w:rsidP="007109C2">
      <w:pPr>
        <w:pStyle w:val="Bijschrift"/>
        <w:keepNext/>
        <w:jc w:val="center"/>
        <w:rPr>
          <w:color w:val="000000" w:themeColor="text1"/>
        </w:rPr>
      </w:pPr>
      <w:r w:rsidRPr="007109C2">
        <w:rPr>
          <w:color w:val="000000" w:themeColor="text1"/>
        </w:rPr>
        <w:t xml:space="preserve">Table </w:t>
      </w:r>
      <w:r w:rsidRPr="007109C2">
        <w:rPr>
          <w:color w:val="000000" w:themeColor="text1"/>
        </w:rPr>
        <w:fldChar w:fldCharType="begin"/>
      </w:r>
      <w:r w:rsidRPr="007109C2">
        <w:rPr>
          <w:color w:val="000000" w:themeColor="text1"/>
        </w:rPr>
        <w:instrText xml:space="preserve"> SEQ Table \* ARABIC </w:instrText>
      </w:r>
      <w:r w:rsidRPr="007109C2">
        <w:rPr>
          <w:color w:val="000000" w:themeColor="text1"/>
        </w:rPr>
        <w:fldChar w:fldCharType="separate"/>
      </w:r>
      <w:r w:rsidRPr="007109C2">
        <w:rPr>
          <w:noProof/>
          <w:color w:val="000000" w:themeColor="text1"/>
        </w:rPr>
        <w:t>1</w:t>
      </w:r>
      <w:r w:rsidRPr="007109C2">
        <w:rPr>
          <w:color w:val="000000" w:themeColor="text1"/>
        </w:rPr>
        <w:fldChar w:fldCharType="end"/>
      </w:r>
      <w:r w:rsidRPr="007109C2">
        <w:rPr>
          <w:color w:val="000000" w:themeColor="text1"/>
        </w:rPr>
        <w:t>: EARL barriers and potential solutions</w:t>
      </w:r>
    </w:p>
    <w:tbl>
      <w:tblPr>
        <w:tblStyle w:val="Lichtelijst-accent6"/>
        <w:tblW w:w="5000" w:type="pct"/>
        <w:tblLayout w:type="fixed"/>
        <w:tblLook w:val="0020" w:firstRow="1" w:lastRow="0" w:firstColumn="0" w:lastColumn="0" w:noHBand="0" w:noVBand="0"/>
      </w:tblPr>
      <w:tblGrid>
        <w:gridCol w:w="5918"/>
        <w:gridCol w:w="9698"/>
      </w:tblGrid>
      <w:tr w:rsidR="0034219E" w:rsidRPr="0034219E" w:rsidTr="00051C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7"/>
          <w:tblHeader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95" w:type="pct"/>
          </w:tcPr>
          <w:p w:rsidR="0034219E" w:rsidRPr="0034219E" w:rsidRDefault="0034219E" w:rsidP="0034219E">
            <w:pPr>
              <w:spacing w:before="3" w:after="3"/>
              <w:jc w:val="center"/>
              <w:rPr>
                <w:sz w:val="18"/>
                <w:szCs w:val="18"/>
              </w:rPr>
            </w:pPr>
            <w:r w:rsidRPr="0034219E">
              <w:rPr>
                <w:sz w:val="18"/>
                <w:szCs w:val="18"/>
              </w:rPr>
              <w:t>BARRIER</w:t>
            </w:r>
          </w:p>
        </w:tc>
        <w:tc>
          <w:tcPr>
            <w:tcW w:w="3105" w:type="pct"/>
          </w:tcPr>
          <w:p w:rsidR="0034219E" w:rsidRPr="0034219E" w:rsidRDefault="0034219E" w:rsidP="0034219E">
            <w:pPr>
              <w:spacing w:before="3" w:after="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4219E">
              <w:rPr>
                <w:sz w:val="18"/>
                <w:szCs w:val="18"/>
              </w:rPr>
              <w:t>TOWARD A SOLUTION</w:t>
            </w:r>
          </w:p>
        </w:tc>
      </w:tr>
      <w:tr w:rsidR="0034219E" w:rsidRPr="0034219E" w:rsidTr="00051C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95" w:type="pct"/>
            <w:shd w:val="clear" w:color="auto" w:fill="auto"/>
          </w:tcPr>
          <w:p w:rsidR="0034219E" w:rsidRPr="0034219E" w:rsidRDefault="0034219E" w:rsidP="0034219E">
            <w:pPr>
              <w:spacing w:before="3" w:after="3"/>
              <w:jc w:val="left"/>
              <w:rPr>
                <w:b/>
                <w:sz w:val="18"/>
                <w:szCs w:val="18"/>
              </w:rPr>
            </w:pPr>
            <w:r w:rsidRPr="0034219E">
              <w:rPr>
                <w:b/>
                <w:sz w:val="18"/>
                <w:szCs w:val="18"/>
              </w:rPr>
              <w:t>Funding</w:t>
            </w:r>
          </w:p>
          <w:p w:rsidR="0034219E" w:rsidRPr="0034219E" w:rsidRDefault="0034219E" w:rsidP="0034219E">
            <w:pPr>
              <w:spacing w:before="3" w:after="3"/>
              <w:jc w:val="left"/>
              <w:rPr>
                <w:sz w:val="18"/>
                <w:szCs w:val="18"/>
              </w:rPr>
            </w:pPr>
            <w:r w:rsidRPr="0034219E">
              <w:rPr>
                <w:sz w:val="18"/>
                <w:szCs w:val="18"/>
              </w:rPr>
              <w:t xml:space="preserve">- Barriers related to access to funding and flexibility of contracts </w:t>
            </w:r>
          </w:p>
        </w:tc>
        <w:tc>
          <w:tcPr>
            <w:tcW w:w="3105" w:type="pct"/>
            <w:shd w:val="clear" w:color="auto" w:fill="auto"/>
          </w:tcPr>
          <w:p w:rsidR="0034219E" w:rsidRPr="0034219E" w:rsidRDefault="0034219E" w:rsidP="0034219E">
            <w:pPr>
              <w:spacing w:before="3" w:after="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4219E">
              <w:rPr>
                <w:b/>
                <w:sz w:val="18"/>
                <w:szCs w:val="18"/>
              </w:rPr>
              <w:t>1.</w:t>
            </w:r>
            <w:r w:rsidRPr="0034219E">
              <w:rPr>
                <w:sz w:val="18"/>
                <w:szCs w:val="18"/>
              </w:rPr>
              <w:t xml:space="preserve"> Rapid access to prioritized research funding (</w:t>
            </w:r>
            <w:proofErr w:type="spellStart"/>
            <w:r w:rsidRPr="0034219E">
              <w:rPr>
                <w:sz w:val="18"/>
                <w:szCs w:val="18"/>
              </w:rPr>
              <w:t>GloPID</w:t>
            </w:r>
            <w:proofErr w:type="spellEnd"/>
            <w:r w:rsidRPr="0034219E">
              <w:rPr>
                <w:sz w:val="18"/>
                <w:szCs w:val="18"/>
              </w:rPr>
              <w:t>-R)</w:t>
            </w:r>
          </w:p>
          <w:p w:rsidR="0034219E" w:rsidRPr="0034219E" w:rsidRDefault="0034219E" w:rsidP="0034219E">
            <w:pPr>
              <w:spacing w:before="3" w:after="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4219E">
              <w:rPr>
                <w:b/>
                <w:sz w:val="18"/>
                <w:szCs w:val="18"/>
              </w:rPr>
              <w:t>2.</w:t>
            </w:r>
            <w:r w:rsidRPr="0034219E">
              <w:rPr>
                <w:sz w:val="18"/>
                <w:szCs w:val="18"/>
              </w:rPr>
              <w:t xml:space="preserve"> Prioritisation of funding specifically for pandemic studies (e.g. NIHR HTA) </w:t>
            </w:r>
          </w:p>
          <w:p w:rsidR="0034219E" w:rsidRPr="0034219E" w:rsidRDefault="0034219E" w:rsidP="0034219E">
            <w:pPr>
              <w:spacing w:before="3" w:after="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4219E">
              <w:rPr>
                <w:b/>
                <w:sz w:val="18"/>
                <w:szCs w:val="18"/>
              </w:rPr>
              <w:t>3.</w:t>
            </w:r>
            <w:r w:rsidRPr="0034219E">
              <w:rPr>
                <w:sz w:val="18"/>
                <w:szCs w:val="18"/>
              </w:rPr>
              <w:t xml:space="preserve"> Lobbying for funding </w:t>
            </w:r>
          </w:p>
          <w:p w:rsidR="0034219E" w:rsidRPr="0034219E" w:rsidRDefault="0034219E" w:rsidP="0034219E">
            <w:pPr>
              <w:spacing w:before="3" w:after="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34219E">
              <w:rPr>
                <w:b/>
                <w:sz w:val="18"/>
                <w:szCs w:val="18"/>
              </w:rPr>
              <w:t xml:space="preserve">4. </w:t>
            </w:r>
            <w:r w:rsidRPr="0034219E">
              <w:rPr>
                <w:sz w:val="18"/>
                <w:szCs w:val="18"/>
              </w:rPr>
              <w:t xml:space="preserve">A rapidly prioritised research agenda by expert panel to focus the scientific response and identify priorities for funding.  </w:t>
            </w:r>
          </w:p>
          <w:p w:rsidR="0034219E" w:rsidRPr="0034219E" w:rsidRDefault="0034219E" w:rsidP="0034219E">
            <w:pPr>
              <w:spacing w:before="3" w:after="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34219E">
              <w:rPr>
                <w:b/>
                <w:sz w:val="18"/>
                <w:szCs w:val="18"/>
              </w:rPr>
              <w:t>5.</w:t>
            </w:r>
            <w:r w:rsidRPr="0034219E">
              <w:rPr>
                <w:sz w:val="18"/>
                <w:szCs w:val="18"/>
              </w:rPr>
              <w:t xml:space="preserve"> Contracts that allow flexible and rapid movement of funds between European project partner Institutions for pandemic research response. </w:t>
            </w:r>
          </w:p>
        </w:tc>
      </w:tr>
      <w:tr w:rsidR="0034219E" w:rsidRPr="0034219E" w:rsidTr="00051C99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95" w:type="pct"/>
          </w:tcPr>
          <w:p w:rsidR="0034219E" w:rsidRPr="0034219E" w:rsidRDefault="0034219E" w:rsidP="0034219E">
            <w:pPr>
              <w:spacing w:before="3" w:after="3"/>
              <w:jc w:val="left"/>
              <w:rPr>
                <w:b/>
                <w:sz w:val="18"/>
                <w:szCs w:val="18"/>
              </w:rPr>
            </w:pPr>
            <w:r w:rsidRPr="0034219E">
              <w:rPr>
                <w:b/>
                <w:sz w:val="18"/>
                <w:szCs w:val="18"/>
              </w:rPr>
              <w:t>Protocol development</w:t>
            </w:r>
          </w:p>
          <w:p w:rsidR="0034219E" w:rsidRPr="0034219E" w:rsidRDefault="0034219E" w:rsidP="0034219E">
            <w:pPr>
              <w:spacing w:before="3" w:after="3"/>
              <w:jc w:val="left"/>
              <w:rPr>
                <w:sz w:val="18"/>
                <w:szCs w:val="18"/>
              </w:rPr>
            </w:pPr>
            <w:r w:rsidRPr="0034219E">
              <w:rPr>
                <w:sz w:val="18"/>
                <w:szCs w:val="18"/>
              </w:rPr>
              <w:t>- Time delay related to study planning, protocol development and development of study materials</w:t>
            </w:r>
          </w:p>
        </w:tc>
        <w:tc>
          <w:tcPr>
            <w:tcW w:w="3105" w:type="pct"/>
          </w:tcPr>
          <w:p w:rsidR="0034219E" w:rsidRPr="0034219E" w:rsidRDefault="0034219E" w:rsidP="0034219E">
            <w:pPr>
              <w:spacing w:before="3" w:after="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4219E">
              <w:rPr>
                <w:b/>
                <w:sz w:val="18"/>
                <w:szCs w:val="18"/>
              </w:rPr>
              <w:t>1.</w:t>
            </w:r>
            <w:r w:rsidRPr="0034219E">
              <w:rPr>
                <w:sz w:val="18"/>
                <w:szCs w:val="18"/>
              </w:rPr>
              <w:t xml:space="preserve"> Pre-identification of research question, study methods, standardised case definitions, participant information, consent forms in pre-approved,  “sleeping “ protocols.  A well-developed study maintenance plan to ensure readiness.   </w:t>
            </w:r>
          </w:p>
          <w:p w:rsidR="0034219E" w:rsidRPr="0034219E" w:rsidRDefault="0034219E" w:rsidP="0034219E">
            <w:pPr>
              <w:spacing w:before="3" w:after="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4219E">
              <w:rPr>
                <w:sz w:val="18"/>
                <w:szCs w:val="18"/>
              </w:rPr>
              <w:t>2. Pre-approval of protocols included in international guidelines for pandemic clinical research preparedness</w:t>
            </w:r>
          </w:p>
          <w:p w:rsidR="0034219E" w:rsidRPr="0034219E" w:rsidRDefault="0034219E" w:rsidP="0034219E">
            <w:pPr>
              <w:spacing w:before="3" w:after="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4219E">
              <w:rPr>
                <w:b/>
                <w:sz w:val="18"/>
                <w:szCs w:val="18"/>
              </w:rPr>
              <w:t>3..</w:t>
            </w:r>
            <w:r w:rsidRPr="0034219E">
              <w:rPr>
                <w:sz w:val="18"/>
                <w:szCs w:val="18"/>
              </w:rPr>
              <w:t xml:space="preserve"> Universally agreed case definitions, pre-approved protocols, case report forms, data collection forms, adverse event reporting (ISARIC).  </w:t>
            </w:r>
          </w:p>
          <w:p w:rsidR="0034219E" w:rsidRPr="0034219E" w:rsidRDefault="0034219E" w:rsidP="0034219E">
            <w:pPr>
              <w:spacing w:before="3" w:after="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4219E">
              <w:rPr>
                <w:sz w:val="18"/>
                <w:szCs w:val="18"/>
              </w:rPr>
              <w:t xml:space="preserve">4. Set-up of studies during inter-pandemic peacetime. </w:t>
            </w:r>
          </w:p>
          <w:p w:rsidR="0034219E" w:rsidRPr="0034219E" w:rsidRDefault="0034219E" w:rsidP="0034219E">
            <w:pPr>
              <w:spacing w:before="3" w:after="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4219E">
              <w:rPr>
                <w:sz w:val="18"/>
                <w:szCs w:val="18"/>
              </w:rPr>
              <w:t xml:space="preserve">5. Use of novel trial designs e.g. platform trials, adaptive design </w:t>
            </w:r>
          </w:p>
        </w:tc>
      </w:tr>
      <w:tr w:rsidR="0034219E" w:rsidRPr="0034219E" w:rsidTr="00051C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95" w:type="pct"/>
          </w:tcPr>
          <w:p w:rsidR="0034219E" w:rsidRPr="0034219E" w:rsidRDefault="0034219E" w:rsidP="0034219E">
            <w:pPr>
              <w:spacing w:before="3" w:after="3"/>
              <w:jc w:val="left"/>
              <w:rPr>
                <w:b/>
                <w:sz w:val="18"/>
                <w:szCs w:val="18"/>
              </w:rPr>
            </w:pPr>
            <w:r w:rsidRPr="0034219E">
              <w:rPr>
                <w:b/>
                <w:sz w:val="18"/>
                <w:szCs w:val="18"/>
              </w:rPr>
              <w:t xml:space="preserve">Ethical and regulatory approvals </w:t>
            </w:r>
          </w:p>
          <w:p w:rsidR="0034219E" w:rsidRPr="0034219E" w:rsidRDefault="0034219E" w:rsidP="0034219E">
            <w:pPr>
              <w:spacing w:before="3" w:after="3"/>
              <w:jc w:val="left"/>
              <w:rPr>
                <w:sz w:val="18"/>
                <w:szCs w:val="18"/>
              </w:rPr>
            </w:pPr>
            <w:r w:rsidRPr="0034219E">
              <w:rPr>
                <w:sz w:val="18"/>
                <w:szCs w:val="18"/>
              </w:rPr>
              <w:t>- Time delays</w:t>
            </w:r>
          </w:p>
          <w:p w:rsidR="0034219E" w:rsidRPr="0034219E" w:rsidRDefault="0034219E" w:rsidP="0034219E">
            <w:pPr>
              <w:spacing w:before="3" w:after="3"/>
              <w:jc w:val="left"/>
              <w:rPr>
                <w:sz w:val="18"/>
                <w:szCs w:val="18"/>
              </w:rPr>
            </w:pPr>
            <w:r w:rsidRPr="0034219E">
              <w:rPr>
                <w:sz w:val="18"/>
                <w:szCs w:val="18"/>
              </w:rPr>
              <w:t>- Lack of harmonisation</w:t>
            </w:r>
          </w:p>
        </w:tc>
        <w:tc>
          <w:tcPr>
            <w:tcW w:w="3105" w:type="pct"/>
          </w:tcPr>
          <w:p w:rsidR="0034219E" w:rsidRPr="0034219E" w:rsidRDefault="0034219E" w:rsidP="0034219E">
            <w:pPr>
              <w:spacing w:before="3" w:after="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4219E">
              <w:rPr>
                <w:b/>
                <w:sz w:val="18"/>
                <w:szCs w:val="18"/>
              </w:rPr>
              <w:t>1.</w:t>
            </w:r>
            <w:r w:rsidRPr="0034219E">
              <w:rPr>
                <w:sz w:val="18"/>
                <w:szCs w:val="18"/>
              </w:rPr>
              <w:t xml:space="preserve"> Fast-track ethical/regulatory approvals specific to emerging outbreaks/epidemics/pandemics</w:t>
            </w:r>
          </w:p>
          <w:p w:rsidR="0034219E" w:rsidRPr="0034219E" w:rsidRDefault="0034219E" w:rsidP="0034219E">
            <w:pPr>
              <w:spacing w:before="3" w:after="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4219E">
              <w:rPr>
                <w:b/>
                <w:sz w:val="18"/>
                <w:szCs w:val="18"/>
              </w:rPr>
              <w:t>2.</w:t>
            </w:r>
            <w:r w:rsidRPr="0034219E">
              <w:rPr>
                <w:sz w:val="18"/>
                <w:szCs w:val="18"/>
              </w:rPr>
              <w:t xml:space="preserve"> Pre-approvals</w:t>
            </w:r>
          </w:p>
          <w:p w:rsidR="0034219E" w:rsidRPr="0034219E" w:rsidRDefault="0034219E" w:rsidP="0034219E">
            <w:pPr>
              <w:spacing w:before="3" w:after="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4219E">
              <w:rPr>
                <w:b/>
                <w:sz w:val="18"/>
                <w:szCs w:val="18"/>
              </w:rPr>
              <w:t>3.</w:t>
            </w:r>
            <w:r w:rsidRPr="0034219E">
              <w:rPr>
                <w:sz w:val="18"/>
                <w:szCs w:val="18"/>
              </w:rPr>
              <w:t xml:space="preserve"> Regulatory changes </w:t>
            </w:r>
          </w:p>
          <w:p w:rsidR="0034219E" w:rsidRPr="0034219E" w:rsidRDefault="0034219E" w:rsidP="0034219E">
            <w:pPr>
              <w:spacing w:before="3" w:after="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4219E">
              <w:rPr>
                <w:b/>
                <w:sz w:val="18"/>
                <w:szCs w:val="18"/>
              </w:rPr>
              <w:t>4.</w:t>
            </w:r>
            <w:r w:rsidRPr="0034219E">
              <w:rPr>
                <w:sz w:val="18"/>
                <w:szCs w:val="18"/>
              </w:rPr>
              <w:t xml:space="preserve"> Set-up of specific ethics boards, develop close relationship and training of ethics boards/regulators (e.g. novel trial design, pandemic research)</w:t>
            </w:r>
          </w:p>
        </w:tc>
      </w:tr>
      <w:tr w:rsidR="0034219E" w:rsidRPr="0034219E" w:rsidTr="00051C99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95" w:type="pct"/>
          </w:tcPr>
          <w:p w:rsidR="0034219E" w:rsidRPr="0034219E" w:rsidRDefault="0034219E" w:rsidP="0034219E">
            <w:pPr>
              <w:spacing w:before="3" w:after="3"/>
              <w:jc w:val="left"/>
              <w:rPr>
                <w:b/>
                <w:sz w:val="18"/>
                <w:szCs w:val="18"/>
              </w:rPr>
            </w:pPr>
            <w:r w:rsidRPr="0034219E">
              <w:rPr>
                <w:b/>
                <w:sz w:val="18"/>
                <w:szCs w:val="18"/>
              </w:rPr>
              <w:t>Contracting and Sponsorship</w:t>
            </w:r>
          </w:p>
          <w:p w:rsidR="0034219E" w:rsidRPr="00051C99" w:rsidRDefault="0034219E" w:rsidP="00051C99">
            <w:pPr>
              <w:pStyle w:val="Lijstalinea"/>
              <w:numPr>
                <w:ilvl w:val="0"/>
                <w:numId w:val="10"/>
              </w:numPr>
              <w:spacing w:before="3" w:after="3"/>
              <w:jc w:val="left"/>
              <w:rPr>
                <w:sz w:val="18"/>
                <w:szCs w:val="18"/>
              </w:rPr>
            </w:pPr>
            <w:r w:rsidRPr="0034219E">
              <w:rPr>
                <w:sz w:val="18"/>
                <w:szCs w:val="18"/>
              </w:rPr>
              <w:t>Time delays</w:t>
            </w:r>
            <w:r w:rsidR="00051C99">
              <w:rPr>
                <w:sz w:val="18"/>
                <w:szCs w:val="18"/>
              </w:rPr>
              <w:t xml:space="preserve">; </w:t>
            </w:r>
            <w:r w:rsidRPr="00051C99">
              <w:rPr>
                <w:sz w:val="18"/>
                <w:szCs w:val="18"/>
              </w:rPr>
              <w:t>Variable practice across countries, regions and institutions</w:t>
            </w:r>
            <w:r w:rsidR="00051C99">
              <w:rPr>
                <w:sz w:val="18"/>
                <w:szCs w:val="18"/>
              </w:rPr>
              <w:t xml:space="preserve">; </w:t>
            </w:r>
            <w:r w:rsidRPr="00051C99">
              <w:rPr>
                <w:sz w:val="18"/>
                <w:szCs w:val="18"/>
              </w:rPr>
              <w:t xml:space="preserve">Varied perception of risk </w:t>
            </w:r>
          </w:p>
        </w:tc>
        <w:tc>
          <w:tcPr>
            <w:tcW w:w="3105" w:type="pct"/>
          </w:tcPr>
          <w:p w:rsidR="0034219E" w:rsidRPr="0034219E" w:rsidRDefault="0034219E" w:rsidP="0034219E">
            <w:pPr>
              <w:spacing w:before="3" w:after="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4219E">
              <w:rPr>
                <w:b/>
                <w:sz w:val="18"/>
                <w:szCs w:val="18"/>
              </w:rPr>
              <w:t xml:space="preserve">1. </w:t>
            </w:r>
            <w:r w:rsidRPr="0034219E">
              <w:rPr>
                <w:sz w:val="18"/>
                <w:szCs w:val="18"/>
              </w:rPr>
              <w:t>Pre-approved contracts (at least agreement of generic phrases across Institutions and countries)</w:t>
            </w:r>
          </w:p>
          <w:p w:rsidR="0034219E" w:rsidRPr="0034219E" w:rsidRDefault="0034219E" w:rsidP="0034219E">
            <w:pPr>
              <w:spacing w:before="3" w:after="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4219E">
              <w:rPr>
                <w:b/>
                <w:sz w:val="18"/>
                <w:szCs w:val="18"/>
              </w:rPr>
              <w:t>2.</w:t>
            </w:r>
            <w:r w:rsidRPr="0034219E">
              <w:rPr>
                <w:sz w:val="18"/>
                <w:szCs w:val="18"/>
              </w:rPr>
              <w:t xml:space="preserve"> Closer liaison with Sponsor/Contracts teams and provision of training (e.g. risk </w:t>
            </w:r>
            <w:r w:rsidR="00051C99">
              <w:rPr>
                <w:sz w:val="18"/>
                <w:szCs w:val="18"/>
              </w:rPr>
              <w:t>of research, research scenarios</w:t>
            </w:r>
            <w:r w:rsidRPr="0034219E">
              <w:rPr>
                <w:sz w:val="18"/>
                <w:szCs w:val="18"/>
              </w:rPr>
              <w:t>)</w:t>
            </w:r>
          </w:p>
          <w:p w:rsidR="0034219E" w:rsidRPr="0034219E" w:rsidRDefault="0034219E" w:rsidP="0034219E">
            <w:pPr>
              <w:spacing w:before="3" w:after="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4219E">
              <w:rPr>
                <w:b/>
                <w:sz w:val="18"/>
                <w:szCs w:val="18"/>
              </w:rPr>
              <w:t>3.</w:t>
            </w:r>
            <w:r w:rsidRPr="0034219E">
              <w:rPr>
                <w:sz w:val="18"/>
                <w:szCs w:val="18"/>
              </w:rPr>
              <w:t xml:space="preserve"> Agreement that is accepted by all countries and ‘one shop’ approval for all member states</w:t>
            </w:r>
          </w:p>
        </w:tc>
      </w:tr>
      <w:tr w:rsidR="0034219E" w:rsidRPr="0034219E" w:rsidTr="00051C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95" w:type="pct"/>
          </w:tcPr>
          <w:p w:rsidR="0034219E" w:rsidRPr="0034219E" w:rsidRDefault="0034219E" w:rsidP="0034219E">
            <w:pPr>
              <w:spacing w:before="3" w:after="3"/>
              <w:jc w:val="left"/>
              <w:rPr>
                <w:b/>
                <w:sz w:val="18"/>
                <w:szCs w:val="18"/>
              </w:rPr>
            </w:pPr>
            <w:r w:rsidRPr="0034219E">
              <w:rPr>
                <w:b/>
                <w:sz w:val="18"/>
                <w:szCs w:val="18"/>
              </w:rPr>
              <w:t>Recruitment of study sites and recruiters</w:t>
            </w:r>
          </w:p>
          <w:p w:rsidR="0034219E" w:rsidRPr="0034219E" w:rsidRDefault="0034219E" w:rsidP="0034219E">
            <w:pPr>
              <w:spacing w:before="3" w:after="3"/>
              <w:jc w:val="left"/>
              <w:rPr>
                <w:b/>
                <w:sz w:val="18"/>
                <w:szCs w:val="18"/>
              </w:rPr>
            </w:pPr>
          </w:p>
          <w:p w:rsidR="0034219E" w:rsidRPr="0034219E" w:rsidRDefault="0034219E" w:rsidP="0034219E">
            <w:pPr>
              <w:spacing w:before="3" w:after="3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3105" w:type="pct"/>
          </w:tcPr>
          <w:p w:rsidR="0034219E" w:rsidRPr="0034219E" w:rsidRDefault="0034219E" w:rsidP="0034219E">
            <w:pPr>
              <w:spacing w:before="3" w:after="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4219E">
              <w:rPr>
                <w:b/>
                <w:sz w:val="18"/>
                <w:szCs w:val="18"/>
              </w:rPr>
              <w:t>1.</w:t>
            </w:r>
            <w:r w:rsidRPr="0034219E">
              <w:rPr>
                <w:sz w:val="18"/>
                <w:szCs w:val="18"/>
              </w:rPr>
              <w:t xml:space="preserve"> Development of research networks, e.g. GRACE, PREPARE</w:t>
            </w:r>
          </w:p>
          <w:p w:rsidR="0034219E" w:rsidRPr="0034219E" w:rsidRDefault="0034219E" w:rsidP="0034219E">
            <w:pPr>
              <w:spacing w:before="3" w:after="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4219E">
              <w:rPr>
                <w:b/>
                <w:sz w:val="18"/>
                <w:szCs w:val="18"/>
              </w:rPr>
              <w:t>2.</w:t>
            </w:r>
            <w:r w:rsidRPr="0034219E">
              <w:rPr>
                <w:sz w:val="18"/>
                <w:szCs w:val="18"/>
              </w:rPr>
              <w:t xml:space="preserve"> Local mentors (experienced recruiters to act as local research champions to engage other sites)</w:t>
            </w:r>
          </w:p>
          <w:p w:rsidR="0034219E" w:rsidRPr="0034219E" w:rsidRDefault="0034219E" w:rsidP="0034219E">
            <w:pPr>
              <w:spacing w:before="3" w:after="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4219E">
              <w:rPr>
                <w:b/>
                <w:sz w:val="18"/>
                <w:szCs w:val="18"/>
              </w:rPr>
              <w:t>3.</w:t>
            </w:r>
            <w:r w:rsidRPr="0034219E">
              <w:rPr>
                <w:sz w:val="18"/>
                <w:szCs w:val="18"/>
              </w:rPr>
              <w:t xml:space="preserve"> Identification of issues that are impeding pandemic research in specific areas (e.g. paediatric research)</w:t>
            </w:r>
          </w:p>
        </w:tc>
      </w:tr>
      <w:tr w:rsidR="0034219E" w:rsidRPr="0034219E" w:rsidTr="00051C99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95" w:type="pct"/>
          </w:tcPr>
          <w:p w:rsidR="0034219E" w:rsidRPr="0034219E" w:rsidRDefault="0034219E" w:rsidP="0034219E">
            <w:pPr>
              <w:spacing w:before="3" w:after="3"/>
              <w:jc w:val="left"/>
              <w:rPr>
                <w:b/>
                <w:sz w:val="18"/>
                <w:szCs w:val="18"/>
              </w:rPr>
            </w:pPr>
            <w:r w:rsidRPr="0034219E">
              <w:rPr>
                <w:b/>
                <w:sz w:val="18"/>
                <w:szCs w:val="18"/>
              </w:rPr>
              <w:t>Research ready research network and trained staff</w:t>
            </w:r>
          </w:p>
          <w:p w:rsidR="0034219E" w:rsidRPr="0034219E" w:rsidRDefault="0034219E" w:rsidP="0034219E">
            <w:pPr>
              <w:spacing w:before="3" w:after="3"/>
              <w:jc w:val="left"/>
              <w:rPr>
                <w:sz w:val="18"/>
                <w:szCs w:val="18"/>
              </w:rPr>
            </w:pPr>
            <w:r w:rsidRPr="0034219E">
              <w:rPr>
                <w:sz w:val="18"/>
                <w:szCs w:val="18"/>
              </w:rPr>
              <w:t>- Pandemic research response requires established research networks and trained staff with capacity to conduct research in pandemic</w:t>
            </w:r>
          </w:p>
        </w:tc>
        <w:tc>
          <w:tcPr>
            <w:tcW w:w="3105" w:type="pct"/>
          </w:tcPr>
          <w:p w:rsidR="0034219E" w:rsidRPr="0034219E" w:rsidRDefault="0034219E" w:rsidP="0034219E">
            <w:pPr>
              <w:spacing w:before="3" w:after="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4219E">
              <w:rPr>
                <w:b/>
                <w:sz w:val="18"/>
                <w:szCs w:val="18"/>
              </w:rPr>
              <w:t>1.</w:t>
            </w:r>
            <w:r w:rsidRPr="0034219E">
              <w:rPr>
                <w:sz w:val="18"/>
                <w:szCs w:val="18"/>
              </w:rPr>
              <w:t xml:space="preserve"> Established PREPARE research networks across Europe (primary, secondary and tertiary care, participant specific (e.g. children) </w:t>
            </w:r>
          </w:p>
          <w:p w:rsidR="0034219E" w:rsidRPr="0034219E" w:rsidRDefault="0034219E" w:rsidP="0034219E">
            <w:pPr>
              <w:spacing w:before="3" w:after="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4219E">
              <w:rPr>
                <w:b/>
                <w:sz w:val="18"/>
                <w:szCs w:val="18"/>
              </w:rPr>
              <w:t>2.</w:t>
            </w:r>
            <w:r w:rsidRPr="0034219E">
              <w:rPr>
                <w:sz w:val="18"/>
                <w:szCs w:val="18"/>
              </w:rPr>
              <w:t xml:space="preserve"> Dedicated research task force with adequate research capacity to conduct research in pandemic</w:t>
            </w:r>
          </w:p>
          <w:p w:rsidR="0034219E" w:rsidRPr="0034219E" w:rsidRDefault="0034219E" w:rsidP="0034219E">
            <w:pPr>
              <w:spacing w:before="3" w:after="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4219E">
              <w:rPr>
                <w:b/>
                <w:sz w:val="18"/>
                <w:szCs w:val="18"/>
              </w:rPr>
              <w:t>3.</w:t>
            </w:r>
            <w:r w:rsidRPr="0034219E">
              <w:rPr>
                <w:sz w:val="18"/>
                <w:szCs w:val="18"/>
              </w:rPr>
              <w:t xml:space="preserve"> Preparation of training materials and rapid, focused training mechanisms</w:t>
            </w:r>
          </w:p>
          <w:p w:rsidR="0034219E" w:rsidRPr="0034219E" w:rsidRDefault="0034219E" w:rsidP="0034219E">
            <w:pPr>
              <w:spacing w:before="3" w:after="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4219E">
              <w:rPr>
                <w:b/>
                <w:sz w:val="18"/>
                <w:szCs w:val="18"/>
              </w:rPr>
              <w:t>4.</w:t>
            </w:r>
            <w:r w:rsidRPr="0034219E">
              <w:rPr>
                <w:sz w:val="18"/>
                <w:szCs w:val="18"/>
              </w:rPr>
              <w:t xml:space="preserve"> Tracking of trained staff, identification of replacement staff (where necessary) and regular updating of training</w:t>
            </w:r>
          </w:p>
        </w:tc>
      </w:tr>
      <w:tr w:rsidR="0034219E" w:rsidRPr="0034219E" w:rsidTr="00051C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95" w:type="pct"/>
          </w:tcPr>
          <w:p w:rsidR="0034219E" w:rsidRPr="0034219E" w:rsidRDefault="0034219E" w:rsidP="0034219E">
            <w:pPr>
              <w:spacing w:before="3" w:after="3"/>
              <w:jc w:val="left"/>
              <w:rPr>
                <w:b/>
                <w:sz w:val="18"/>
                <w:szCs w:val="18"/>
              </w:rPr>
            </w:pPr>
            <w:r w:rsidRPr="0034219E">
              <w:rPr>
                <w:b/>
                <w:sz w:val="18"/>
                <w:szCs w:val="18"/>
              </w:rPr>
              <w:t>Relationship with Public Health agencies</w:t>
            </w:r>
          </w:p>
          <w:p w:rsidR="0034219E" w:rsidRPr="0034219E" w:rsidRDefault="0034219E" w:rsidP="0034219E">
            <w:pPr>
              <w:spacing w:before="3" w:after="3"/>
              <w:jc w:val="left"/>
              <w:rPr>
                <w:sz w:val="18"/>
                <w:szCs w:val="18"/>
              </w:rPr>
            </w:pPr>
            <w:r w:rsidRPr="0034219E">
              <w:rPr>
                <w:sz w:val="18"/>
                <w:szCs w:val="18"/>
              </w:rPr>
              <w:t xml:space="preserve">- Research effort must be aligned to first line national/ global public health response teams </w:t>
            </w:r>
          </w:p>
        </w:tc>
        <w:tc>
          <w:tcPr>
            <w:tcW w:w="3105" w:type="pct"/>
          </w:tcPr>
          <w:p w:rsidR="0034219E" w:rsidRPr="0034219E" w:rsidRDefault="0034219E" w:rsidP="0034219E">
            <w:pPr>
              <w:spacing w:before="3" w:after="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4219E">
              <w:rPr>
                <w:b/>
                <w:sz w:val="18"/>
                <w:szCs w:val="18"/>
              </w:rPr>
              <w:t>1.</w:t>
            </w:r>
            <w:r w:rsidRPr="0034219E">
              <w:rPr>
                <w:sz w:val="18"/>
                <w:szCs w:val="18"/>
              </w:rPr>
              <w:t xml:space="preserve"> Established working relationships with Public Health/Health Protection/Emergency Response teams who respond to pandemics</w:t>
            </w:r>
          </w:p>
        </w:tc>
      </w:tr>
      <w:tr w:rsidR="0034219E" w:rsidRPr="0034219E" w:rsidTr="00051C99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95" w:type="pct"/>
          </w:tcPr>
          <w:p w:rsidR="0034219E" w:rsidRPr="0034219E" w:rsidRDefault="0034219E" w:rsidP="0034219E">
            <w:pPr>
              <w:spacing w:before="3" w:after="3"/>
              <w:jc w:val="left"/>
              <w:rPr>
                <w:b/>
                <w:sz w:val="18"/>
                <w:szCs w:val="18"/>
              </w:rPr>
            </w:pPr>
            <w:r w:rsidRPr="0034219E">
              <w:rPr>
                <w:b/>
                <w:sz w:val="18"/>
                <w:szCs w:val="18"/>
              </w:rPr>
              <w:t>Participant identification</w:t>
            </w:r>
          </w:p>
          <w:p w:rsidR="0034219E" w:rsidRPr="0034219E" w:rsidRDefault="0034219E" w:rsidP="00051C99">
            <w:pPr>
              <w:spacing w:before="3" w:after="3"/>
              <w:jc w:val="left"/>
              <w:rPr>
                <w:sz w:val="18"/>
                <w:szCs w:val="18"/>
              </w:rPr>
            </w:pPr>
            <w:r w:rsidRPr="0034219E">
              <w:rPr>
                <w:sz w:val="18"/>
                <w:szCs w:val="18"/>
              </w:rPr>
              <w:t>-In some cases e.g. influenza, the public have had messages to ‘stay away fr</w:t>
            </w:r>
            <w:r>
              <w:rPr>
                <w:sz w:val="18"/>
                <w:szCs w:val="18"/>
              </w:rPr>
              <w:t xml:space="preserve">om primary care’ and self-care, so </w:t>
            </w:r>
            <w:r w:rsidRPr="0034219E">
              <w:rPr>
                <w:sz w:val="18"/>
                <w:szCs w:val="18"/>
              </w:rPr>
              <w:t>may not present to clinical recruiting site unless very sick or too late in clinical course for medication impact (antivi</w:t>
            </w:r>
            <w:r w:rsidR="00051C99">
              <w:rPr>
                <w:sz w:val="18"/>
                <w:szCs w:val="18"/>
              </w:rPr>
              <w:t xml:space="preserve">rals in first 3 days); Clinical trials costly - </w:t>
            </w:r>
            <w:r w:rsidRPr="0034219E">
              <w:rPr>
                <w:sz w:val="18"/>
                <w:szCs w:val="18"/>
              </w:rPr>
              <w:t>ideally only those patients with a confirmed co</w:t>
            </w:r>
            <w:r>
              <w:rPr>
                <w:sz w:val="18"/>
                <w:szCs w:val="18"/>
              </w:rPr>
              <w:t xml:space="preserve">ndition would be recruited. </w:t>
            </w:r>
            <w:r w:rsidR="00051C99">
              <w:rPr>
                <w:sz w:val="18"/>
                <w:szCs w:val="18"/>
              </w:rPr>
              <w:t>But c</w:t>
            </w:r>
            <w:r w:rsidRPr="0034219E">
              <w:rPr>
                <w:sz w:val="18"/>
                <w:szCs w:val="18"/>
              </w:rPr>
              <w:t xml:space="preserve">linical symptoms are non-specific and </w:t>
            </w:r>
            <w:r w:rsidR="00051C99">
              <w:rPr>
                <w:sz w:val="18"/>
                <w:szCs w:val="18"/>
              </w:rPr>
              <w:t>identifying</w:t>
            </w:r>
            <w:r w:rsidRPr="0034219E">
              <w:rPr>
                <w:sz w:val="18"/>
                <w:szCs w:val="18"/>
              </w:rPr>
              <w:t xml:space="preserve"> patients who have the condition of interest</w:t>
            </w:r>
            <w:r w:rsidR="00051C99">
              <w:rPr>
                <w:sz w:val="18"/>
                <w:szCs w:val="18"/>
              </w:rPr>
              <w:t xml:space="preserve"> challenging. </w:t>
            </w:r>
          </w:p>
        </w:tc>
        <w:tc>
          <w:tcPr>
            <w:tcW w:w="3105" w:type="pct"/>
          </w:tcPr>
          <w:p w:rsidR="0034219E" w:rsidRPr="0034219E" w:rsidRDefault="0034219E" w:rsidP="0034219E">
            <w:pPr>
              <w:spacing w:before="3" w:after="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4219E">
              <w:rPr>
                <w:b/>
                <w:sz w:val="18"/>
                <w:szCs w:val="18"/>
              </w:rPr>
              <w:t>1.</w:t>
            </w:r>
            <w:r w:rsidRPr="0034219E">
              <w:rPr>
                <w:sz w:val="18"/>
                <w:szCs w:val="18"/>
              </w:rPr>
              <w:t xml:space="preserve"> Learning lessons from PREPARE studies (innovative participant identification) </w:t>
            </w:r>
          </w:p>
          <w:p w:rsidR="0034219E" w:rsidRPr="0034219E" w:rsidRDefault="0034219E" w:rsidP="0034219E">
            <w:pPr>
              <w:spacing w:before="3" w:after="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4219E">
              <w:rPr>
                <w:b/>
                <w:sz w:val="18"/>
                <w:szCs w:val="18"/>
              </w:rPr>
              <w:t>2.</w:t>
            </w:r>
            <w:r w:rsidRPr="0034219E">
              <w:rPr>
                <w:sz w:val="18"/>
                <w:szCs w:val="18"/>
              </w:rPr>
              <w:t xml:space="preserve"> Involvement of professional groups in addition to   teams in clinical setting (e.g. pharmacy staff)</w:t>
            </w:r>
          </w:p>
          <w:p w:rsidR="0034219E" w:rsidRPr="0034219E" w:rsidRDefault="0034219E" w:rsidP="0034219E">
            <w:pPr>
              <w:spacing w:before="3" w:after="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4219E">
              <w:rPr>
                <w:b/>
                <w:sz w:val="18"/>
                <w:szCs w:val="18"/>
              </w:rPr>
              <w:t>3.</w:t>
            </w:r>
            <w:r w:rsidRPr="0034219E">
              <w:rPr>
                <w:sz w:val="18"/>
                <w:szCs w:val="18"/>
              </w:rPr>
              <w:t xml:space="preserve"> Local ‘public engagement’ campaigns (various media)</w:t>
            </w:r>
          </w:p>
          <w:p w:rsidR="0034219E" w:rsidRPr="0034219E" w:rsidRDefault="0034219E" w:rsidP="0034219E">
            <w:pPr>
              <w:spacing w:before="3" w:after="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4219E">
              <w:rPr>
                <w:b/>
                <w:sz w:val="18"/>
                <w:szCs w:val="18"/>
              </w:rPr>
              <w:t>4.</w:t>
            </w:r>
            <w:r w:rsidRPr="0034219E">
              <w:rPr>
                <w:sz w:val="18"/>
                <w:szCs w:val="18"/>
              </w:rPr>
              <w:t xml:space="preserve"> Optimising information provision to potential participants with sign-posting to recruitment site (e.g. cascade through public health information channels, families, influenza clinics, pharmacies)</w:t>
            </w:r>
          </w:p>
          <w:p w:rsidR="0034219E" w:rsidRPr="0034219E" w:rsidRDefault="0034219E" w:rsidP="0034219E">
            <w:pPr>
              <w:spacing w:before="3" w:after="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4219E">
              <w:rPr>
                <w:b/>
                <w:sz w:val="18"/>
                <w:szCs w:val="18"/>
              </w:rPr>
              <w:t>5.</w:t>
            </w:r>
            <w:r w:rsidRPr="0034219E">
              <w:rPr>
                <w:sz w:val="18"/>
                <w:szCs w:val="18"/>
              </w:rPr>
              <w:t xml:space="preserve"> Development of specific and sensitive diagnostic tests for the identification of new and emerging diseases (especially viral diseases).</w:t>
            </w:r>
          </w:p>
          <w:p w:rsidR="0034219E" w:rsidRPr="0034219E" w:rsidRDefault="0034219E" w:rsidP="0034219E">
            <w:pPr>
              <w:spacing w:before="3" w:after="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4219E">
              <w:rPr>
                <w:b/>
                <w:sz w:val="18"/>
                <w:szCs w:val="18"/>
              </w:rPr>
              <w:t>6.</w:t>
            </w:r>
            <w:r w:rsidRPr="0034219E">
              <w:rPr>
                <w:sz w:val="18"/>
                <w:szCs w:val="18"/>
              </w:rPr>
              <w:t xml:space="preserve"> Development of universally agreed case definitions (special panel that can be rapidly convened).</w:t>
            </w:r>
          </w:p>
        </w:tc>
      </w:tr>
      <w:tr w:rsidR="0034219E" w:rsidRPr="0034219E" w:rsidTr="00051C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95" w:type="pct"/>
          </w:tcPr>
          <w:p w:rsidR="0034219E" w:rsidRPr="0034219E" w:rsidRDefault="0034219E" w:rsidP="0034219E">
            <w:pPr>
              <w:spacing w:before="3" w:after="3"/>
              <w:jc w:val="left"/>
              <w:rPr>
                <w:b/>
                <w:sz w:val="18"/>
                <w:szCs w:val="18"/>
              </w:rPr>
            </w:pPr>
            <w:r w:rsidRPr="0034219E">
              <w:rPr>
                <w:b/>
                <w:sz w:val="18"/>
                <w:szCs w:val="18"/>
              </w:rPr>
              <w:t>Participant recruitment</w:t>
            </w:r>
          </w:p>
          <w:p w:rsidR="0034219E" w:rsidRPr="0034219E" w:rsidRDefault="0034219E" w:rsidP="0034219E">
            <w:pPr>
              <w:spacing w:before="3" w:after="3"/>
              <w:jc w:val="left"/>
              <w:rPr>
                <w:sz w:val="18"/>
                <w:szCs w:val="18"/>
              </w:rPr>
            </w:pPr>
            <w:r w:rsidRPr="0034219E">
              <w:rPr>
                <w:sz w:val="18"/>
                <w:szCs w:val="18"/>
              </w:rPr>
              <w:t>-Participant recruitment is one of the major obstacles to successful studies</w:t>
            </w:r>
          </w:p>
          <w:p w:rsidR="0034219E" w:rsidRPr="0034219E" w:rsidRDefault="0034219E" w:rsidP="0034219E">
            <w:pPr>
              <w:spacing w:before="3" w:after="3"/>
              <w:jc w:val="left"/>
              <w:rPr>
                <w:sz w:val="18"/>
                <w:szCs w:val="18"/>
              </w:rPr>
            </w:pPr>
            <w:r w:rsidRPr="0034219E">
              <w:rPr>
                <w:sz w:val="18"/>
                <w:szCs w:val="18"/>
              </w:rPr>
              <w:t>- Recruitment poses a significant barrier in relation to time and capacity of recruiting clinicians.</w:t>
            </w:r>
          </w:p>
          <w:p w:rsidR="0034219E" w:rsidRPr="0034219E" w:rsidRDefault="0034219E" w:rsidP="0034219E">
            <w:pPr>
              <w:spacing w:before="3" w:after="3"/>
              <w:jc w:val="left"/>
              <w:rPr>
                <w:sz w:val="18"/>
                <w:szCs w:val="18"/>
              </w:rPr>
            </w:pPr>
            <w:r w:rsidRPr="0034219E">
              <w:rPr>
                <w:sz w:val="18"/>
                <w:szCs w:val="18"/>
              </w:rPr>
              <w:t>- Recruitment of participants considered a ‘vulnerable population’ – e.g. paediatrics or pregnant women in studies: recruiters may be nervous of recruiting</w:t>
            </w:r>
          </w:p>
          <w:p w:rsidR="0034219E" w:rsidRPr="0034219E" w:rsidRDefault="0034219E" w:rsidP="0034219E">
            <w:pPr>
              <w:spacing w:before="3" w:after="3"/>
              <w:jc w:val="left"/>
              <w:rPr>
                <w:sz w:val="18"/>
                <w:szCs w:val="18"/>
              </w:rPr>
            </w:pPr>
            <w:r w:rsidRPr="0034219E">
              <w:rPr>
                <w:sz w:val="18"/>
                <w:szCs w:val="18"/>
              </w:rPr>
              <w:t>- Capturing all potential patients to increase internal and external validity</w:t>
            </w:r>
          </w:p>
        </w:tc>
        <w:tc>
          <w:tcPr>
            <w:tcW w:w="3105" w:type="pct"/>
          </w:tcPr>
          <w:p w:rsidR="0034219E" w:rsidRPr="0034219E" w:rsidRDefault="0034219E" w:rsidP="0034219E">
            <w:pPr>
              <w:spacing w:before="3" w:after="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4219E">
              <w:rPr>
                <w:b/>
                <w:sz w:val="18"/>
                <w:szCs w:val="18"/>
              </w:rPr>
              <w:t>1.</w:t>
            </w:r>
            <w:r w:rsidRPr="0034219E">
              <w:rPr>
                <w:sz w:val="18"/>
                <w:szCs w:val="18"/>
              </w:rPr>
              <w:t xml:space="preserve"> Design of research studies that answer/consider questions that are perceived as important by members of the public (potential participants) and clinicians (potential recruiters).</w:t>
            </w:r>
          </w:p>
          <w:p w:rsidR="0034219E" w:rsidRPr="0034219E" w:rsidRDefault="0034219E" w:rsidP="0034219E">
            <w:pPr>
              <w:spacing w:before="3" w:after="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4219E">
              <w:rPr>
                <w:b/>
                <w:sz w:val="18"/>
                <w:szCs w:val="18"/>
              </w:rPr>
              <w:t>2.</w:t>
            </w:r>
            <w:r w:rsidRPr="0034219E">
              <w:rPr>
                <w:sz w:val="18"/>
                <w:szCs w:val="18"/>
              </w:rPr>
              <w:t xml:space="preserve"> Design of research procedures (e.g. alternative consent) that are acceptable to all key stakeholders: ethics boards, potential participants, clinicians, researchers, (and potentially public health bodies). </w:t>
            </w:r>
          </w:p>
          <w:p w:rsidR="0034219E" w:rsidRPr="0034219E" w:rsidRDefault="0034219E" w:rsidP="0034219E">
            <w:pPr>
              <w:spacing w:before="3" w:after="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4219E">
              <w:rPr>
                <w:b/>
                <w:sz w:val="18"/>
                <w:szCs w:val="18"/>
              </w:rPr>
              <w:t>3.</w:t>
            </w:r>
            <w:r w:rsidRPr="0034219E">
              <w:rPr>
                <w:sz w:val="18"/>
                <w:szCs w:val="18"/>
              </w:rPr>
              <w:t xml:space="preserve"> Identification of ways to expedite research (e.g. alternative enrolment procedures, recruitment by non-clinicians e.g. trained medical students or other health professionals like pharmacists). </w:t>
            </w:r>
          </w:p>
          <w:p w:rsidR="0034219E" w:rsidRPr="0034219E" w:rsidRDefault="0034219E" w:rsidP="0034219E">
            <w:pPr>
              <w:spacing w:before="3" w:after="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4219E">
              <w:rPr>
                <w:b/>
                <w:sz w:val="18"/>
                <w:szCs w:val="18"/>
              </w:rPr>
              <w:t>4.</w:t>
            </w:r>
            <w:r w:rsidRPr="0034219E">
              <w:rPr>
                <w:sz w:val="18"/>
                <w:szCs w:val="18"/>
              </w:rPr>
              <w:t xml:space="preserve"> Design research that considers/implements community engagement strategies</w:t>
            </w:r>
          </w:p>
          <w:p w:rsidR="0034219E" w:rsidRPr="0034219E" w:rsidRDefault="0034219E" w:rsidP="0034219E">
            <w:pPr>
              <w:spacing w:before="3" w:after="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4219E">
              <w:rPr>
                <w:b/>
                <w:sz w:val="18"/>
                <w:szCs w:val="18"/>
              </w:rPr>
              <w:t>5.</w:t>
            </w:r>
            <w:r w:rsidRPr="0034219E">
              <w:rPr>
                <w:sz w:val="18"/>
                <w:szCs w:val="18"/>
              </w:rPr>
              <w:t xml:space="preserve"> Design of studies that minimise the number of participants that are needed to recruit for successful outcome (adaptive, platform trials).</w:t>
            </w:r>
          </w:p>
          <w:p w:rsidR="0034219E" w:rsidRPr="0034219E" w:rsidRDefault="0034219E" w:rsidP="0034219E">
            <w:pPr>
              <w:spacing w:before="3" w:after="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4219E">
              <w:rPr>
                <w:sz w:val="18"/>
                <w:szCs w:val="18"/>
              </w:rPr>
              <w:t>6. Embedding clinical research into clinical practice</w:t>
            </w:r>
          </w:p>
        </w:tc>
      </w:tr>
      <w:tr w:rsidR="0034219E" w:rsidRPr="0034219E" w:rsidTr="00051C99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95" w:type="pct"/>
          </w:tcPr>
          <w:p w:rsidR="0034219E" w:rsidRPr="0034219E" w:rsidRDefault="0034219E" w:rsidP="0034219E">
            <w:pPr>
              <w:spacing w:before="3" w:after="3"/>
              <w:jc w:val="left"/>
              <w:rPr>
                <w:b/>
                <w:sz w:val="18"/>
                <w:szCs w:val="18"/>
              </w:rPr>
            </w:pPr>
            <w:r w:rsidRPr="0034219E">
              <w:rPr>
                <w:b/>
                <w:sz w:val="18"/>
                <w:szCs w:val="18"/>
              </w:rPr>
              <w:t>Access to routine clinical samples and data for research</w:t>
            </w:r>
          </w:p>
          <w:p w:rsidR="0034219E" w:rsidRPr="0034219E" w:rsidRDefault="0034219E" w:rsidP="0034219E">
            <w:pPr>
              <w:spacing w:before="3" w:after="3"/>
              <w:jc w:val="left"/>
              <w:rPr>
                <w:sz w:val="18"/>
                <w:szCs w:val="18"/>
              </w:rPr>
            </w:pPr>
            <w:r w:rsidRPr="0034219E">
              <w:rPr>
                <w:sz w:val="18"/>
                <w:szCs w:val="18"/>
              </w:rPr>
              <w:t>- Consent not normally in place to use (anonymised) routine clinical data, excess clinical samples (blood, swabs) or samples collected for surveillance/public health measures</w:t>
            </w:r>
          </w:p>
          <w:p w:rsidR="0034219E" w:rsidRPr="0034219E" w:rsidRDefault="0034219E" w:rsidP="0034219E">
            <w:pPr>
              <w:spacing w:before="3" w:after="3"/>
              <w:jc w:val="left"/>
              <w:rPr>
                <w:sz w:val="18"/>
                <w:szCs w:val="18"/>
              </w:rPr>
            </w:pPr>
            <w:r w:rsidRPr="0034219E">
              <w:rPr>
                <w:sz w:val="18"/>
                <w:szCs w:val="18"/>
              </w:rPr>
              <w:t xml:space="preserve">- Excess clinical samples not routinely stored (lack of </w:t>
            </w:r>
            <w:proofErr w:type="spellStart"/>
            <w:r w:rsidRPr="0034219E">
              <w:rPr>
                <w:sz w:val="18"/>
                <w:szCs w:val="18"/>
              </w:rPr>
              <w:t>Biobanking</w:t>
            </w:r>
            <w:proofErr w:type="spellEnd"/>
            <w:r w:rsidRPr="0034219E">
              <w:rPr>
                <w:sz w:val="18"/>
                <w:szCs w:val="18"/>
              </w:rPr>
              <w:t xml:space="preserve"> facilities) or not stored in consistent and optimal ways </w:t>
            </w:r>
          </w:p>
          <w:p w:rsidR="0034219E" w:rsidRPr="0034219E" w:rsidRDefault="0034219E" w:rsidP="0034219E">
            <w:pPr>
              <w:spacing w:before="3" w:after="3"/>
              <w:jc w:val="left"/>
              <w:rPr>
                <w:sz w:val="18"/>
                <w:szCs w:val="18"/>
              </w:rPr>
            </w:pPr>
            <w:r w:rsidRPr="0034219E">
              <w:rPr>
                <w:sz w:val="18"/>
                <w:szCs w:val="18"/>
              </w:rPr>
              <w:t xml:space="preserve">-There can be legal and technical (country specific) problems with export of data </w:t>
            </w:r>
          </w:p>
          <w:p w:rsidR="0034219E" w:rsidRPr="0034219E" w:rsidRDefault="0034219E" w:rsidP="0034219E">
            <w:pPr>
              <w:spacing w:before="3" w:after="3"/>
              <w:jc w:val="left"/>
              <w:rPr>
                <w:sz w:val="18"/>
                <w:szCs w:val="18"/>
              </w:rPr>
            </w:pPr>
          </w:p>
        </w:tc>
        <w:tc>
          <w:tcPr>
            <w:tcW w:w="3105" w:type="pct"/>
          </w:tcPr>
          <w:p w:rsidR="0034219E" w:rsidRPr="0034219E" w:rsidRDefault="0034219E" w:rsidP="0034219E">
            <w:pPr>
              <w:spacing w:before="3" w:after="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4219E">
              <w:rPr>
                <w:b/>
                <w:sz w:val="18"/>
                <w:szCs w:val="18"/>
              </w:rPr>
              <w:t>1.</w:t>
            </w:r>
            <w:r w:rsidRPr="0034219E">
              <w:rPr>
                <w:sz w:val="18"/>
                <w:szCs w:val="18"/>
              </w:rPr>
              <w:t xml:space="preserve">  Implement and promote collection of biological samples and data for research in clinical settings.</w:t>
            </w:r>
          </w:p>
          <w:p w:rsidR="0034219E" w:rsidRPr="0034219E" w:rsidRDefault="0034219E" w:rsidP="0034219E">
            <w:pPr>
              <w:spacing w:before="3" w:after="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4219E">
              <w:rPr>
                <w:b/>
                <w:sz w:val="18"/>
                <w:szCs w:val="18"/>
              </w:rPr>
              <w:t>2.</w:t>
            </w:r>
            <w:r w:rsidRPr="0034219E">
              <w:rPr>
                <w:sz w:val="18"/>
                <w:szCs w:val="18"/>
              </w:rPr>
              <w:t xml:space="preserve"> Putting in place an acceptable and feasible consent process that can be used within clinical care process and is acceptable to all stakeholders (Research consent as part of clinical consent)</w:t>
            </w:r>
          </w:p>
          <w:p w:rsidR="0034219E" w:rsidRPr="0034219E" w:rsidRDefault="0034219E" w:rsidP="0034219E">
            <w:pPr>
              <w:spacing w:before="3" w:after="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4219E">
              <w:rPr>
                <w:b/>
                <w:sz w:val="18"/>
                <w:szCs w:val="18"/>
              </w:rPr>
              <w:t>3.</w:t>
            </w:r>
            <w:r w:rsidRPr="0034219E">
              <w:rPr>
                <w:sz w:val="18"/>
                <w:szCs w:val="18"/>
              </w:rPr>
              <w:t xml:space="preserve"> Pre-approved research materials (posters, patient information and consent forms (ideally should cover DNA research – genetic markers of risk groups and personalised medicine).</w:t>
            </w:r>
          </w:p>
          <w:p w:rsidR="0034219E" w:rsidRPr="0034219E" w:rsidRDefault="0034219E" w:rsidP="0034219E">
            <w:pPr>
              <w:spacing w:before="3" w:after="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4219E">
              <w:rPr>
                <w:b/>
                <w:sz w:val="18"/>
                <w:szCs w:val="18"/>
              </w:rPr>
              <w:t>4.</w:t>
            </w:r>
            <w:r w:rsidRPr="0034219E">
              <w:rPr>
                <w:sz w:val="18"/>
                <w:szCs w:val="18"/>
              </w:rPr>
              <w:t xml:space="preserve"> Pre-approved protocols to enable colle</w:t>
            </w:r>
            <w:r>
              <w:rPr>
                <w:sz w:val="18"/>
                <w:szCs w:val="18"/>
              </w:rPr>
              <w:t>ction of standardised data; and</w:t>
            </w:r>
            <w:r w:rsidRPr="0034219E">
              <w:rPr>
                <w:sz w:val="18"/>
                <w:szCs w:val="18"/>
              </w:rPr>
              <w:t xml:space="preserve"> collection and storage of samples </w:t>
            </w:r>
          </w:p>
          <w:p w:rsidR="0034219E" w:rsidRPr="0034219E" w:rsidRDefault="0034219E" w:rsidP="0034219E">
            <w:pPr>
              <w:spacing w:before="3" w:after="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4219E">
              <w:rPr>
                <w:b/>
                <w:sz w:val="18"/>
                <w:szCs w:val="18"/>
              </w:rPr>
              <w:t>5.</w:t>
            </w:r>
            <w:r w:rsidRPr="0034219E">
              <w:rPr>
                <w:sz w:val="18"/>
                <w:szCs w:val="18"/>
              </w:rPr>
              <w:t xml:space="preserve"> Training of clinical staff </w:t>
            </w:r>
          </w:p>
          <w:p w:rsidR="0034219E" w:rsidRPr="0034219E" w:rsidRDefault="0034219E" w:rsidP="0034219E">
            <w:pPr>
              <w:spacing w:before="3" w:after="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4219E">
              <w:rPr>
                <w:b/>
                <w:sz w:val="18"/>
                <w:szCs w:val="18"/>
              </w:rPr>
              <w:t>6.</w:t>
            </w:r>
            <w:r w:rsidRPr="0034219E">
              <w:rPr>
                <w:sz w:val="18"/>
                <w:szCs w:val="18"/>
              </w:rPr>
              <w:t xml:space="preserve"> Engagement with public health/clinical process decision makers</w:t>
            </w:r>
          </w:p>
          <w:p w:rsidR="0034219E" w:rsidRPr="0034219E" w:rsidRDefault="0034219E" w:rsidP="0034219E">
            <w:pPr>
              <w:spacing w:before="3" w:after="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4219E">
              <w:rPr>
                <w:b/>
                <w:sz w:val="18"/>
                <w:szCs w:val="18"/>
              </w:rPr>
              <w:t>7.</w:t>
            </w:r>
            <w:r w:rsidRPr="0034219E">
              <w:rPr>
                <w:sz w:val="18"/>
                <w:szCs w:val="18"/>
              </w:rPr>
              <w:t xml:space="preserve"> Developing </w:t>
            </w:r>
            <w:proofErr w:type="spellStart"/>
            <w:r w:rsidRPr="0034219E">
              <w:rPr>
                <w:sz w:val="18"/>
                <w:szCs w:val="18"/>
              </w:rPr>
              <w:t>Biobanking</w:t>
            </w:r>
            <w:proofErr w:type="spellEnd"/>
            <w:r w:rsidRPr="0034219E">
              <w:rPr>
                <w:sz w:val="18"/>
                <w:szCs w:val="18"/>
              </w:rPr>
              <w:t xml:space="preserve"> facilities and processes</w:t>
            </w:r>
          </w:p>
        </w:tc>
      </w:tr>
      <w:tr w:rsidR="0034219E" w:rsidRPr="0034219E" w:rsidTr="00051C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95" w:type="pct"/>
          </w:tcPr>
          <w:p w:rsidR="0034219E" w:rsidRPr="0034219E" w:rsidRDefault="0034219E" w:rsidP="0034219E">
            <w:pPr>
              <w:spacing w:before="3" w:after="3"/>
              <w:jc w:val="left"/>
              <w:rPr>
                <w:b/>
                <w:sz w:val="18"/>
                <w:szCs w:val="18"/>
              </w:rPr>
            </w:pPr>
            <w:r w:rsidRPr="0034219E">
              <w:rPr>
                <w:b/>
                <w:sz w:val="18"/>
                <w:szCs w:val="18"/>
              </w:rPr>
              <w:t>Preparedness of Laboratories</w:t>
            </w:r>
          </w:p>
          <w:p w:rsidR="0034219E" w:rsidRPr="0034219E" w:rsidRDefault="0034219E" w:rsidP="0034219E">
            <w:pPr>
              <w:spacing w:before="3" w:after="3"/>
              <w:jc w:val="left"/>
              <w:rPr>
                <w:sz w:val="18"/>
                <w:szCs w:val="18"/>
              </w:rPr>
            </w:pPr>
            <w:r w:rsidRPr="0034219E">
              <w:rPr>
                <w:sz w:val="18"/>
                <w:szCs w:val="18"/>
              </w:rPr>
              <w:t>Lack of diagnostics capability (staffing, equipment and relevant training), lack of standardized protocols, inadequate tests and sample accessibility</w:t>
            </w:r>
          </w:p>
        </w:tc>
        <w:tc>
          <w:tcPr>
            <w:tcW w:w="3105" w:type="pct"/>
          </w:tcPr>
          <w:p w:rsidR="0034219E" w:rsidRPr="0034219E" w:rsidRDefault="0034219E" w:rsidP="0034219E">
            <w:pPr>
              <w:spacing w:before="3" w:after="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4219E">
              <w:rPr>
                <w:b/>
                <w:sz w:val="18"/>
                <w:szCs w:val="18"/>
              </w:rPr>
              <w:t>1.</w:t>
            </w:r>
            <w:r w:rsidRPr="0034219E">
              <w:rPr>
                <w:sz w:val="18"/>
                <w:szCs w:val="18"/>
              </w:rPr>
              <w:t xml:space="preserve"> Engagement of laboratories and assessment of capability and requirements </w:t>
            </w:r>
          </w:p>
          <w:p w:rsidR="0034219E" w:rsidRPr="0034219E" w:rsidRDefault="0034219E" w:rsidP="0034219E">
            <w:pPr>
              <w:spacing w:before="3" w:after="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4219E">
              <w:rPr>
                <w:b/>
                <w:sz w:val="18"/>
                <w:szCs w:val="18"/>
              </w:rPr>
              <w:t>2.</w:t>
            </w:r>
            <w:r w:rsidRPr="0034219E">
              <w:rPr>
                <w:sz w:val="18"/>
                <w:szCs w:val="18"/>
              </w:rPr>
              <w:t xml:space="preserve"> Pre-approved standardized protocols for collection, storing and sharing of samples and data</w:t>
            </w:r>
          </w:p>
          <w:p w:rsidR="0034219E" w:rsidRPr="0034219E" w:rsidRDefault="0034219E" w:rsidP="0034219E">
            <w:pPr>
              <w:spacing w:before="3" w:after="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4219E">
              <w:rPr>
                <w:b/>
                <w:sz w:val="18"/>
                <w:szCs w:val="18"/>
              </w:rPr>
              <w:t>3.</w:t>
            </w:r>
            <w:r w:rsidRPr="0034219E">
              <w:rPr>
                <w:sz w:val="18"/>
                <w:szCs w:val="18"/>
              </w:rPr>
              <w:t xml:space="preserve"> Staff training</w:t>
            </w:r>
          </w:p>
          <w:p w:rsidR="0034219E" w:rsidRPr="0034219E" w:rsidRDefault="0034219E" w:rsidP="0034219E">
            <w:pPr>
              <w:spacing w:before="3" w:after="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4219E">
              <w:rPr>
                <w:b/>
                <w:sz w:val="18"/>
                <w:szCs w:val="18"/>
              </w:rPr>
              <w:t>4.</w:t>
            </w:r>
            <w:r w:rsidRPr="0034219E">
              <w:rPr>
                <w:sz w:val="18"/>
                <w:szCs w:val="18"/>
              </w:rPr>
              <w:t xml:space="preserve"> Logistics (sample transport and sharing – necessary for diagnostics and potentially vaccine development)</w:t>
            </w:r>
          </w:p>
        </w:tc>
      </w:tr>
      <w:tr w:rsidR="0034219E" w:rsidRPr="0034219E" w:rsidTr="00051C99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95" w:type="pct"/>
          </w:tcPr>
          <w:p w:rsidR="0034219E" w:rsidRPr="0034219E" w:rsidRDefault="0034219E" w:rsidP="0034219E">
            <w:pPr>
              <w:spacing w:before="3" w:after="3"/>
              <w:jc w:val="left"/>
              <w:rPr>
                <w:b/>
                <w:sz w:val="18"/>
                <w:szCs w:val="18"/>
              </w:rPr>
            </w:pPr>
            <w:r w:rsidRPr="0034219E">
              <w:rPr>
                <w:b/>
                <w:sz w:val="18"/>
                <w:szCs w:val="18"/>
              </w:rPr>
              <w:t>New vaccines /medications (IMP) in trials</w:t>
            </w:r>
          </w:p>
          <w:p w:rsidR="0034219E" w:rsidRPr="0034219E" w:rsidRDefault="0034219E" w:rsidP="0034219E">
            <w:pPr>
              <w:spacing w:before="3" w:after="3"/>
              <w:jc w:val="left"/>
              <w:rPr>
                <w:sz w:val="18"/>
                <w:szCs w:val="18"/>
              </w:rPr>
            </w:pPr>
            <w:r w:rsidRPr="0034219E">
              <w:rPr>
                <w:sz w:val="18"/>
                <w:szCs w:val="18"/>
              </w:rPr>
              <w:t>-Potential logistical hurdles may be encountered in production of new vaccines/medication (can take 6 months and many steps with</w:t>
            </w:r>
            <w:r>
              <w:rPr>
                <w:sz w:val="18"/>
                <w:szCs w:val="18"/>
              </w:rPr>
              <w:t xml:space="preserve"> country specific differences); </w:t>
            </w:r>
            <w:r w:rsidRPr="0034219E">
              <w:rPr>
                <w:sz w:val="18"/>
                <w:szCs w:val="18"/>
              </w:rPr>
              <w:t>Availability of IMP for research and IMP storage for research may be issue in pandemic</w:t>
            </w:r>
            <w:r>
              <w:rPr>
                <w:sz w:val="18"/>
                <w:szCs w:val="18"/>
              </w:rPr>
              <w:t xml:space="preserve">. </w:t>
            </w:r>
            <w:r w:rsidRPr="0034219E">
              <w:rPr>
                <w:sz w:val="18"/>
                <w:szCs w:val="18"/>
              </w:rPr>
              <w:t xml:space="preserve"> </w:t>
            </w:r>
          </w:p>
        </w:tc>
        <w:tc>
          <w:tcPr>
            <w:tcW w:w="3105" w:type="pct"/>
          </w:tcPr>
          <w:p w:rsidR="0034219E" w:rsidRPr="0034219E" w:rsidRDefault="0034219E" w:rsidP="0034219E">
            <w:pPr>
              <w:spacing w:before="3" w:after="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4219E">
              <w:rPr>
                <w:b/>
                <w:sz w:val="18"/>
                <w:szCs w:val="18"/>
              </w:rPr>
              <w:t>1.</w:t>
            </w:r>
            <w:r w:rsidRPr="0034219E">
              <w:rPr>
                <w:sz w:val="18"/>
                <w:szCs w:val="18"/>
              </w:rPr>
              <w:t xml:space="preserve"> Learn lessons from seasonal influenza vaccine delivery and implement clear procedures for pandemic research requiring vaccines</w:t>
            </w:r>
          </w:p>
          <w:p w:rsidR="0034219E" w:rsidRPr="0034219E" w:rsidRDefault="0034219E" w:rsidP="0034219E">
            <w:pPr>
              <w:spacing w:before="3" w:after="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4219E">
              <w:rPr>
                <w:b/>
                <w:sz w:val="18"/>
                <w:szCs w:val="18"/>
              </w:rPr>
              <w:t>2.</w:t>
            </w:r>
            <w:r w:rsidRPr="0034219E">
              <w:rPr>
                <w:sz w:val="18"/>
                <w:szCs w:val="18"/>
              </w:rPr>
              <w:t xml:space="preserve"> Understand how supplies are tracked and track supply chains to avoid running out</w:t>
            </w:r>
          </w:p>
          <w:p w:rsidR="0034219E" w:rsidRPr="0034219E" w:rsidRDefault="0034219E" w:rsidP="0034219E">
            <w:pPr>
              <w:spacing w:before="3" w:after="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34219E">
              <w:rPr>
                <w:b/>
                <w:sz w:val="18"/>
                <w:szCs w:val="18"/>
              </w:rPr>
              <w:t>3.</w:t>
            </w:r>
            <w:r w:rsidRPr="0034219E">
              <w:rPr>
                <w:sz w:val="18"/>
                <w:szCs w:val="18"/>
              </w:rPr>
              <w:t xml:space="preserve"> Consider alternatives and substitutions.</w:t>
            </w:r>
          </w:p>
        </w:tc>
      </w:tr>
      <w:tr w:rsidR="0034219E" w:rsidRPr="0034219E" w:rsidTr="00051C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95" w:type="pct"/>
          </w:tcPr>
          <w:p w:rsidR="0034219E" w:rsidRPr="0034219E" w:rsidRDefault="0034219E" w:rsidP="0034219E">
            <w:pPr>
              <w:spacing w:before="3" w:after="3"/>
              <w:jc w:val="left"/>
              <w:rPr>
                <w:b/>
                <w:sz w:val="18"/>
                <w:szCs w:val="18"/>
              </w:rPr>
            </w:pPr>
            <w:r w:rsidRPr="0034219E">
              <w:rPr>
                <w:b/>
                <w:sz w:val="18"/>
                <w:szCs w:val="18"/>
              </w:rPr>
              <w:t>Capability of systems to pivot to response mode in the event of a pandemic</w:t>
            </w:r>
          </w:p>
          <w:p w:rsidR="0034219E" w:rsidRPr="0034219E" w:rsidRDefault="0034219E" w:rsidP="0034219E">
            <w:pPr>
              <w:spacing w:before="3" w:after="3"/>
              <w:jc w:val="left"/>
              <w:rPr>
                <w:b/>
                <w:sz w:val="18"/>
                <w:szCs w:val="18"/>
              </w:rPr>
            </w:pPr>
            <w:r w:rsidRPr="0034219E">
              <w:rPr>
                <w:sz w:val="18"/>
                <w:szCs w:val="18"/>
              </w:rPr>
              <w:t>-  Relevant to ‘peacetime’ st</w:t>
            </w:r>
            <w:r>
              <w:rPr>
                <w:sz w:val="18"/>
                <w:szCs w:val="18"/>
              </w:rPr>
              <w:t xml:space="preserve">udies and ‘sleeping protocols’ - can be resource intensive; </w:t>
            </w:r>
            <w:r w:rsidRPr="0034219E">
              <w:rPr>
                <w:sz w:val="18"/>
                <w:szCs w:val="18"/>
              </w:rPr>
              <w:t xml:space="preserve">should be </w:t>
            </w:r>
            <w:r>
              <w:rPr>
                <w:sz w:val="18"/>
                <w:szCs w:val="18"/>
              </w:rPr>
              <w:t xml:space="preserve">planned and tested. </w:t>
            </w:r>
          </w:p>
        </w:tc>
        <w:tc>
          <w:tcPr>
            <w:tcW w:w="3105" w:type="pct"/>
          </w:tcPr>
          <w:p w:rsidR="0034219E" w:rsidRPr="0034219E" w:rsidRDefault="0034219E" w:rsidP="0034219E">
            <w:pPr>
              <w:spacing w:before="3" w:after="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4219E">
              <w:rPr>
                <w:b/>
                <w:sz w:val="18"/>
                <w:szCs w:val="18"/>
              </w:rPr>
              <w:t>1.</w:t>
            </w:r>
            <w:r w:rsidRPr="0034219E">
              <w:rPr>
                <w:sz w:val="18"/>
                <w:szCs w:val="18"/>
              </w:rPr>
              <w:t xml:space="preserve">  Design and implementation of platform/adaptive trials</w:t>
            </w:r>
          </w:p>
          <w:p w:rsidR="0034219E" w:rsidRPr="0034219E" w:rsidRDefault="0034219E" w:rsidP="0034219E">
            <w:pPr>
              <w:spacing w:before="3" w:after="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4219E">
              <w:rPr>
                <w:b/>
                <w:sz w:val="18"/>
                <w:szCs w:val="18"/>
              </w:rPr>
              <w:t>2.</w:t>
            </w:r>
            <w:r w:rsidRPr="0034219E">
              <w:rPr>
                <w:sz w:val="18"/>
                <w:szCs w:val="18"/>
              </w:rPr>
              <w:t xml:space="preserve"> Regular contingency planning and testing (peacetime trials and sleeping protocols)</w:t>
            </w:r>
          </w:p>
          <w:p w:rsidR="0034219E" w:rsidRPr="0034219E" w:rsidRDefault="0034219E" w:rsidP="0034219E">
            <w:pPr>
              <w:spacing w:before="3" w:after="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4219E">
              <w:rPr>
                <w:b/>
                <w:sz w:val="18"/>
                <w:szCs w:val="18"/>
              </w:rPr>
              <w:t>3.</w:t>
            </w:r>
            <w:r w:rsidRPr="0034219E">
              <w:rPr>
                <w:sz w:val="18"/>
                <w:szCs w:val="18"/>
              </w:rPr>
              <w:t xml:space="preserve"> Ensure communications with outbreak committees (e.g. WHO and Public health Response teams)</w:t>
            </w:r>
          </w:p>
          <w:p w:rsidR="0034219E" w:rsidRPr="0034219E" w:rsidRDefault="0034219E" w:rsidP="0034219E">
            <w:pPr>
              <w:spacing w:before="3" w:after="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4219E">
              <w:rPr>
                <w:b/>
                <w:sz w:val="18"/>
                <w:szCs w:val="18"/>
              </w:rPr>
              <w:t>4.</w:t>
            </w:r>
            <w:r w:rsidRPr="0034219E">
              <w:rPr>
                <w:sz w:val="18"/>
                <w:szCs w:val="18"/>
              </w:rPr>
              <w:t xml:space="preserve"> Consider location of trials: High incidence/outbreak risk settings</w:t>
            </w:r>
          </w:p>
        </w:tc>
      </w:tr>
    </w:tbl>
    <w:p w:rsidR="00F576BC" w:rsidRDefault="00F576BC" w:rsidP="00051C99"/>
    <w:sectPr w:rsidR="00F576BC" w:rsidSect="0034219E">
      <w:footerReference w:type="even" r:id="rId9"/>
      <w:footerReference w:type="default" r:id="rId10"/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4A4" w:rsidRDefault="005774A4" w:rsidP="0034219E">
      <w:pPr>
        <w:spacing w:before="0" w:after="0" w:line="240" w:lineRule="auto"/>
      </w:pPr>
      <w:r>
        <w:separator/>
      </w:r>
    </w:p>
  </w:endnote>
  <w:endnote w:type="continuationSeparator" w:id="0">
    <w:p w:rsidR="005774A4" w:rsidRDefault="005774A4" w:rsidP="0034219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C99" w:rsidRDefault="005774A4">
    <w:pPr>
      <w:pStyle w:val="Voettekst"/>
    </w:pPr>
    <w:sdt>
      <w:sdtPr>
        <w:id w:val="969400743"/>
        <w:placeholder>
          <w:docPart w:val="2D6B6CE2761F4F46B1039F59C4424A4F"/>
        </w:placeholder>
        <w:temporary/>
        <w:showingPlcHdr/>
      </w:sdtPr>
      <w:sdtEndPr/>
      <w:sdtContent>
        <w:r w:rsidR="00051C99">
          <w:t>[Type text]</w:t>
        </w:r>
      </w:sdtContent>
    </w:sdt>
    <w:r w:rsidR="00051C99">
      <w:ptab w:relativeTo="margin" w:alignment="center" w:leader="none"/>
    </w:r>
    <w:sdt>
      <w:sdtPr>
        <w:id w:val="969400748"/>
        <w:placeholder>
          <w:docPart w:val="CD63DE21A7CD6349B0E05DBFD6C8D875"/>
        </w:placeholder>
        <w:temporary/>
        <w:showingPlcHdr/>
      </w:sdtPr>
      <w:sdtEndPr/>
      <w:sdtContent>
        <w:r w:rsidR="00051C99">
          <w:t>[Type text]</w:t>
        </w:r>
      </w:sdtContent>
    </w:sdt>
    <w:r w:rsidR="00051C99">
      <w:ptab w:relativeTo="margin" w:alignment="right" w:leader="none"/>
    </w:r>
    <w:sdt>
      <w:sdtPr>
        <w:id w:val="969400753"/>
        <w:placeholder>
          <w:docPart w:val="0F753F519DFF53458999CC068A04171B"/>
        </w:placeholder>
        <w:temporary/>
        <w:showingPlcHdr/>
      </w:sdtPr>
      <w:sdtEndPr/>
      <w:sdtContent>
        <w:r w:rsidR="00051C99">
          <w:t>[Type text]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C99" w:rsidRPr="0034219E" w:rsidRDefault="00051C99">
    <w:pPr>
      <w:pStyle w:val="Voettekst"/>
      <w:rPr>
        <w:sz w:val="18"/>
        <w:szCs w:val="18"/>
      </w:rPr>
    </w:pPr>
    <w:r>
      <w:rPr>
        <w:sz w:val="18"/>
        <w:szCs w:val="18"/>
      </w:rPr>
      <w:t xml:space="preserve">From PREPARE WP1: 36month report - ethical, administrative, regulatory and logistical (EARL) solutions.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4A4" w:rsidRDefault="005774A4" w:rsidP="0034219E">
      <w:pPr>
        <w:spacing w:before="0" w:after="0" w:line="240" w:lineRule="auto"/>
      </w:pPr>
      <w:r>
        <w:separator/>
      </w:r>
    </w:p>
  </w:footnote>
  <w:footnote w:type="continuationSeparator" w:id="0">
    <w:p w:rsidR="005774A4" w:rsidRDefault="005774A4" w:rsidP="0034219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3764B"/>
    <w:multiLevelType w:val="hybridMultilevel"/>
    <w:tmpl w:val="F0964E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74859B5"/>
    <w:multiLevelType w:val="hybridMultilevel"/>
    <w:tmpl w:val="74A8F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DA79AD"/>
    <w:multiLevelType w:val="hybridMultilevel"/>
    <w:tmpl w:val="2A0A24F6"/>
    <w:lvl w:ilvl="0" w:tplc="C5025CA8">
      <w:start w:val="1"/>
      <w:numFmt w:val="bullet"/>
      <w:lvlText w:val="-"/>
      <w:lvlJc w:val="left"/>
      <w:pPr>
        <w:ind w:left="360" w:hanging="360"/>
      </w:pPr>
      <w:rPr>
        <w:rFonts w:ascii="Century Schoolbook" w:eastAsiaTheme="minorHAnsi" w:hAnsi="Century Schoolbook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D857A7A"/>
    <w:multiLevelType w:val="hybridMultilevel"/>
    <w:tmpl w:val="1A14D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0D77FC"/>
    <w:multiLevelType w:val="hybridMultilevel"/>
    <w:tmpl w:val="B0E009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B0E0C0C"/>
    <w:multiLevelType w:val="hybridMultilevel"/>
    <w:tmpl w:val="F8207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E7634"/>
    <w:multiLevelType w:val="hybridMultilevel"/>
    <w:tmpl w:val="729644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887952"/>
    <w:multiLevelType w:val="hybridMultilevel"/>
    <w:tmpl w:val="99583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76C6AE3"/>
    <w:multiLevelType w:val="hybridMultilevel"/>
    <w:tmpl w:val="A134B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43668D"/>
    <w:multiLevelType w:val="hybridMultilevel"/>
    <w:tmpl w:val="F2C61A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0"/>
  </w:num>
  <w:num w:numId="5">
    <w:abstractNumId w:val="6"/>
  </w:num>
  <w:num w:numId="6">
    <w:abstractNumId w:val="8"/>
  </w:num>
  <w:num w:numId="7">
    <w:abstractNumId w:val="1"/>
  </w:num>
  <w:num w:numId="8">
    <w:abstractNumId w:val="7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19E"/>
    <w:rsid w:val="00051C99"/>
    <w:rsid w:val="0008374D"/>
    <w:rsid w:val="0033781F"/>
    <w:rsid w:val="0034219E"/>
    <w:rsid w:val="0045286F"/>
    <w:rsid w:val="004A0BE9"/>
    <w:rsid w:val="005774A4"/>
    <w:rsid w:val="007109C2"/>
    <w:rsid w:val="008B10D0"/>
    <w:rsid w:val="00F576BC"/>
    <w:rsid w:val="00FB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aliases w:val="Body text"/>
    <w:qFormat/>
    <w:rsid w:val="0034219E"/>
    <w:pPr>
      <w:spacing w:before="120" w:after="240" w:line="276" w:lineRule="auto"/>
      <w:jc w:val="both"/>
    </w:pPr>
    <w:rPr>
      <w:rFonts w:ascii="Century Schoolbook" w:eastAsiaTheme="minorHAnsi" w:hAnsi="Century Schoolbook"/>
      <w:sz w:val="21"/>
      <w:szCs w:val="22"/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link w:val="LijstalineaChar"/>
    <w:uiPriority w:val="34"/>
    <w:qFormat/>
    <w:rsid w:val="0034219E"/>
    <w:pPr>
      <w:ind w:left="720"/>
      <w:contextualSpacing/>
    </w:pPr>
  </w:style>
  <w:style w:type="character" w:customStyle="1" w:styleId="LijstalineaChar">
    <w:name w:val="Lijstalinea Char"/>
    <w:basedOn w:val="Standaardalinea-lettertype"/>
    <w:link w:val="Lijstalinea"/>
    <w:uiPriority w:val="34"/>
    <w:rsid w:val="0034219E"/>
    <w:rPr>
      <w:rFonts w:ascii="Century Schoolbook" w:eastAsiaTheme="minorHAnsi" w:hAnsi="Century Schoolbook"/>
      <w:sz w:val="21"/>
      <w:szCs w:val="22"/>
      <w:lang w:val="en-GB"/>
    </w:rPr>
  </w:style>
  <w:style w:type="paragraph" w:styleId="Tekstopmerking">
    <w:name w:val="annotation text"/>
    <w:basedOn w:val="Standaard"/>
    <w:link w:val="TekstopmerkingChar"/>
    <w:uiPriority w:val="99"/>
    <w:unhideWhenUsed/>
    <w:rsid w:val="0034219E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34219E"/>
    <w:rPr>
      <w:rFonts w:ascii="Century Schoolbook" w:eastAsiaTheme="minorHAnsi" w:hAnsi="Century Schoolbook"/>
      <w:sz w:val="20"/>
      <w:szCs w:val="20"/>
      <w:lang w:val="en-GB"/>
    </w:rPr>
  </w:style>
  <w:style w:type="table" w:styleId="Lichtelijst-accent6">
    <w:name w:val="Light List Accent 6"/>
    <w:basedOn w:val="Standaardtabel"/>
    <w:uiPriority w:val="61"/>
    <w:rsid w:val="0034219E"/>
    <w:rPr>
      <w:rFonts w:eastAsiaTheme="minorHAnsi"/>
      <w:sz w:val="22"/>
      <w:szCs w:val="22"/>
      <w:lang w:val="en-GB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Koptekst">
    <w:name w:val="header"/>
    <w:basedOn w:val="Standaard"/>
    <w:link w:val="KoptekstChar"/>
    <w:uiPriority w:val="99"/>
    <w:unhideWhenUsed/>
    <w:rsid w:val="0034219E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4219E"/>
    <w:rPr>
      <w:rFonts w:ascii="Century Schoolbook" w:eastAsiaTheme="minorHAnsi" w:hAnsi="Century Schoolbook"/>
      <w:sz w:val="21"/>
      <w:szCs w:val="22"/>
      <w:lang w:val="en-GB"/>
    </w:rPr>
  </w:style>
  <w:style w:type="paragraph" w:styleId="Voettekst">
    <w:name w:val="footer"/>
    <w:basedOn w:val="Standaard"/>
    <w:link w:val="VoettekstChar"/>
    <w:uiPriority w:val="99"/>
    <w:unhideWhenUsed/>
    <w:rsid w:val="0034219E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4219E"/>
    <w:rPr>
      <w:rFonts w:ascii="Century Schoolbook" w:eastAsiaTheme="minorHAnsi" w:hAnsi="Century Schoolbook"/>
      <w:sz w:val="21"/>
      <w:szCs w:val="22"/>
      <w:lang w:val="en-GB"/>
    </w:rPr>
  </w:style>
  <w:style w:type="paragraph" w:styleId="Bijschrift">
    <w:name w:val="caption"/>
    <w:basedOn w:val="Standaard"/>
    <w:next w:val="Standaard"/>
    <w:uiPriority w:val="35"/>
    <w:unhideWhenUsed/>
    <w:qFormat/>
    <w:rsid w:val="007109C2"/>
    <w:pPr>
      <w:spacing w:before="0" w:after="200"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aliases w:val="Body text"/>
    <w:qFormat/>
    <w:rsid w:val="0034219E"/>
    <w:pPr>
      <w:spacing w:before="120" w:after="240" w:line="276" w:lineRule="auto"/>
      <w:jc w:val="both"/>
    </w:pPr>
    <w:rPr>
      <w:rFonts w:ascii="Century Schoolbook" w:eastAsiaTheme="minorHAnsi" w:hAnsi="Century Schoolbook"/>
      <w:sz w:val="21"/>
      <w:szCs w:val="22"/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link w:val="LijstalineaChar"/>
    <w:uiPriority w:val="34"/>
    <w:qFormat/>
    <w:rsid w:val="0034219E"/>
    <w:pPr>
      <w:ind w:left="720"/>
      <w:contextualSpacing/>
    </w:pPr>
  </w:style>
  <w:style w:type="character" w:customStyle="1" w:styleId="LijstalineaChar">
    <w:name w:val="Lijstalinea Char"/>
    <w:basedOn w:val="Standaardalinea-lettertype"/>
    <w:link w:val="Lijstalinea"/>
    <w:uiPriority w:val="34"/>
    <w:rsid w:val="0034219E"/>
    <w:rPr>
      <w:rFonts w:ascii="Century Schoolbook" w:eastAsiaTheme="minorHAnsi" w:hAnsi="Century Schoolbook"/>
      <w:sz w:val="21"/>
      <w:szCs w:val="22"/>
      <w:lang w:val="en-GB"/>
    </w:rPr>
  </w:style>
  <w:style w:type="paragraph" w:styleId="Tekstopmerking">
    <w:name w:val="annotation text"/>
    <w:basedOn w:val="Standaard"/>
    <w:link w:val="TekstopmerkingChar"/>
    <w:uiPriority w:val="99"/>
    <w:unhideWhenUsed/>
    <w:rsid w:val="0034219E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34219E"/>
    <w:rPr>
      <w:rFonts w:ascii="Century Schoolbook" w:eastAsiaTheme="minorHAnsi" w:hAnsi="Century Schoolbook"/>
      <w:sz w:val="20"/>
      <w:szCs w:val="20"/>
      <w:lang w:val="en-GB"/>
    </w:rPr>
  </w:style>
  <w:style w:type="table" w:styleId="Lichtelijst-accent6">
    <w:name w:val="Light List Accent 6"/>
    <w:basedOn w:val="Standaardtabel"/>
    <w:uiPriority w:val="61"/>
    <w:rsid w:val="0034219E"/>
    <w:rPr>
      <w:rFonts w:eastAsiaTheme="minorHAnsi"/>
      <w:sz w:val="22"/>
      <w:szCs w:val="22"/>
      <w:lang w:val="en-GB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Koptekst">
    <w:name w:val="header"/>
    <w:basedOn w:val="Standaard"/>
    <w:link w:val="KoptekstChar"/>
    <w:uiPriority w:val="99"/>
    <w:unhideWhenUsed/>
    <w:rsid w:val="0034219E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4219E"/>
    <w:rPr>
      <w:rFonts w:ascii="Century Schoolbook" w:eastAsiaTheme="minorHAnsi" w:hAnsi="Century Schoolbook"/>
      <w:sz w:val="21"/>
      <w:szCs w:val="22"/>
      <w:lang w:val="en-GB"/>
    </w:rPr>
  </w:style>
  <w:style w:type="paragraph" w:styleId="Voettekst">
    <w:name w:val="footer"/>
    <w:basedOn w:val="Standaard"/>
    <w:link w:val="VoettekstChar"/>
    <w:uiPriority w:val="99"/>
    <w:unhideWhenUsed/>
    <w:rsid w:val="0034219E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4219E"/>
    <w:rPr>
      <w:rFonts w:ascii="Century Schoolbook" w:eastAsiaTheme="minorHAnsi" w:hAnsi="Century Schoolbook"/>
      <w:sz w:val="21"/>
      <w:szCs w:val="22"/>
      <w:lang w:val="en-GB"/>
    </w:rPr>
  </w:style>
  <w:style w:type="paragraph" w:styleId="Bijschrift">
    <w:name w:val="caption"/>
    <w:basedOn w:val="Standaard"/>
    <w:next w:val="Standaard"/>
    <w:uiPriority w:val="35"/>
    <w:unhideWhenUsed/>
    <w:qFormat/>
    <w:rsid w:val="007109C2"/>
    <w:pPr>
      <w:spacing w:before="0" w:after="200"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D6B6CE2761F4F46B1039F59C4424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F4FFC7-842E-0A41-BABE-64AA6D6A0775}"/>
      </w:docPartPr>
      <w:docPartBody>
        <w:p w:rsidR="009A3D99" w:rsidRDefault="009A3D99" w:rsidP="009A3D99">
          <w:pPr>
            <w:pStyle w:val="2D6B6CE2761F4F46B1039F59C4424A4F"/>
          </w:pPr>
          <w:r>
            <w:t>[Type text]</w:t>
          </w:r>
        </w:p>
      </w:docPartBody>
    </w:docPart>
    <w:docPart>
      <w:docPartPr>
        <w:name w:val="CD63DE21A7CD6349B0E05DBFD6C8D8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E2F9D6-FC11-974F-B1C5-698A8D874B59}"/>
      </w:docPartPr>
      <w:docPartBody>
        <w:p w:rsidR="009A3D99" w:rsidRDefault="009A3D99" w:rsidP="009A3D99">
          <w:pPr>
            <w:pStyle w:val="CD63DE21A7CD6349B0E05DBFD6C8D875"/>
          </w:pPr>
          <w:r>
            <w:t>[Type text]</w:t>
          </w:r>
        </w:p>
      </w:docPartBody>
    </w:docPart>
    <w:docPart>
      <w:docPartPr>
        <w:name w:val="0F753F519DFF53458999CC068A0417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7259DD-A6EB-084C-83E9-ABAFED9B1F48}"/>
      </w:docPartPr>
      <w:docPartBody>
        <w:p w:rsidR="009A3D99" w:rsidRDefault="009A3D99" w:rsidP="009A3D99">
          <w:pPr>
            <w:pStyle w:val="0F753F519DFF53458999CC068A04171B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D99"/>
    <w:rsid w:val="00843215"/>
    <w:rsid w:val="009A3D99"/>
    <w:rsid w:val="00B426A3"/>
    <w:rsid w:val="00D4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4">
    <w:name w:val="heading 4"/>
    <w:basedOn w:val="Standaard"/>
    <w:next w:val="Standaard"/>
    <w:link w:val="Kop4Char"/>
    <w:qFormat/>
    <w:rsid w:val="009A3D99"/>
    <w:pPr>
      <w:keepNext/>
      <w:pBdr>
        <w:bottom w:val="single" w:sz="4" w:space="1" w:color="FF7620"/>
      </w:pBdr>
      <w:tabs>
        <w:tab w:val="left" w:pos="720"/>
        <w:tab w:val="left" w:pos="1440"/>
      </w:tabs>
      <w:spacing w:before="120" w:after="240"/>
      <w:ind w:left="397"/>
      <w:jc w:val="both"/>
      <w:outlineLvl w:val="3"/>
    </w:pPr>
    <w:rPr>
      <w:rFonts w:ascii="Arial" w:eastAsiaTheme="minorHAnsi" w:hAnsi="Arial" w:cs="Arial"/>
      <w:b/>
      <w:color w:val="E36C0A"/>
      <w:sz w:val="22"/>
      <w:szCs w:val="22"/>
      <w:lang w:val="en-US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2D6B6CE2761F4F46B1039F59C4424A4F">
    <w:name w:val="2D6B6CE2761F4F46B1039F59C4424A4F"/>
    <w:rsid w:val="009A3D99"/>
  </w:style>
  <w:style w:type="paragraph" w:customStyle="1" w:styleId="CD63DE21A7CD6349B0E05DBFD6C8D875">
    <w:name w:val="CD63DE21A7CD6349B0E05DBFD6C8D875"/>
    <w:rsid w:val="009A3D99"/>
  </w:style>
  <w:style w:type="paragraph" w:customStyle="1" w:styleId="0F753F519DFF53458999CC068A04171B">
    <w:name w:val="0F753F519DFF53458999CC068A04171B"/>
    <w:rsid w:val="009A3D99"/>
  </w:style>
  <w:style w:type="paragraph" w:customStyle="1" w:styleId="E142647B3A58004E9EF2DED8D9F25F27">
    <w:name w:val="E142647B3A58004E9EF2DED8D9F25F27"/>
    <w:rsid w:val="009A3D99"/>
  </w:style>
  <w:style w:type="paragraph" w:customStyle="1" w:styleId="8AD702050FDD1F4482E4D8FE3E0D0792">
    <w:name w:val="8AD702050FDD1F4482E4D8FE3E0D0792"/>
    <w:rsid w:val="009A3D99"/>
  </w:style>
  <w:style w:type="paragraph" w:customStyle="1" w:styleId="92CDA452A661114ABE26144A60D4D1BC">
    <w:name w:val="92CDA452A661114ABE26144A60D4D1BC"/>
    <w:rsid w:val="009A3D99"/>
  </w:style>
  <w:style w:type="character" w:styleId="Tekstvantijdelijkeaanduiding">
    <w:name w:val="Placeholder Text"/>
    <w:basedOn w:val="Standaardalinea-lettertype"/>
    <w:uiPriority w:val="99"/>
    <w:semiHidden/>
    <w:rsid w:val="009A3D99"/>
    <w:rPr>
      <w:color w:val="808080"/>
    </w:rPr>
  </w:style>
  <w:style w:type="paragraph" w:styleId="Titel">
    <w:name w:val="Title"/>
    <w:basedOn w:val="Standaard"/>
    <w:next w:val="Standaard"/>
    <w:link w:val="TitelChar"/>
    <w:uiPriority w:val="10"/>
    <w:qFormat/>
    <w:rsid w:val="009A3D99"/>
    <w:pPr>
      <w:spacing w:line="276" w:lineRule="auto"/>
      <w:jc w:val="right"/>
    </w:pPr>
    <w:rPr>
      <w:rFonts w:ascii="Arial" w:eastAsiaTheme="minorHAnsi" w:hAnsi="Arial" w:cs="Arial"/>
      <w:sz w:val="48"/>
      <w:szCs w:val="48"/>
      <w:lang w:eastAsia="en-US"/>
    </w:rPr>
  </w:style>
  <w:style w:type="character" w:customStyle="1" w:styleId="TitelChar">
    <w:name w:val="Titel Char"/>
    <w:basedOn w:val="Standaardalinea-lettertype"/>
    <w:link w:val="Titel"/>
    <w:uiPriority w:val="10"/>
    <w:rsid w:val="009A3D99"/>
    <w:rPr>
      <w:rFonts w:ascii="Arial" w:eastAsiaTheme="minorHAnsi" w:hAnsi="Arial" w:cs="Arial"/>
      <w:sz w:val="48"/>
      <w:szCs w:val="48"/>
      <w:lang w:eastAsia="en-US"/>
    </w:rPr>
  </w:style>
  <w:style w:type="paragraph" w:customStyle="1" w:styleId="59B3D65CF6B5754EBECA1AFFCCB1D2A6">
    <w:name w:val="59B3D65CF6B5754EBECA1AFFCCB1D2A6"/>
    <w:rsid w:val="009A3D99"/>
  </w:style>
  <w:style w:type="character" w:customStyle="1" w:styleId="Kop4Char">
    <w:name w:val="Kop 4 Char"/>
    <w:basedOn w:val="Standaardalinea-lettertype"/>
    <w:link w:val="Kop4"/>
    <w:rsid w:val="009A3D99"/>
    <w:rPr>
      <w:rFonts w:ascii="Arial" w:eastAsiaTheme="minorHAnsi" w:hAnsi="Arial" w:cs="Arial"/>
      <w:b/>
      <w:color w:val="E36C0A"/>
      <w:sz w:val="22"/>
      <w:szCs w:val="22"/>
      <w:lang w:val="en-US" w:eastAsia="en-US"/>
    </w:rPr>
  </w:style>
  <w:style w:type="paragraph" w:customStyle="1" w:styleId="91ED54ECDE54524B9B23D9F7DC8AE29E">
    <w:name w:val="91ED54ECDE54524B9B23D9F7DC8AE29E"/>
    <w:rsid w:val="009A3D9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4">
    <w:name w:val="heading 4"/>
    <w:basedOn w:val="Standaard"/>
    <w:next w:val="Standaard"/>
    <w:link w:val="Kop4Char"/>
    <w:qFormat/>
    <w:rsid w:val="009A3D99"/>
    <w:pPr>
      <w:keepNext/>
      <w:pBdr>
        <w:bottom w:val="single" w:sz="4" w:space="1" w:color="FF7620"/>
      </w:pBdr>
      <w:tabs>
        <w:tab w:val="left" w:pos="720"/>
        <w:tab w:val="left" w:pos="1440"/>
      </w:tabs>
      <w:spacing w:before="120" w:after="240"/>
      <w:ind w:left="397"/>
      <w:jc w:val="both"/>
      <w:outlineLvl w:val="3"/>
    </w:pPr>
    <w:rPr>
      <w:rFonts w:ascii="Arial" w:eastAsiaTheme="minorHAnsi" w:hAnsi="Arial" w:cs="Arial"/>
      <w:b/>
      <w:color w:val="E36C0A"/>
      <w:sz w:val="22"/>
      <w:szCs w:val="22"/>
      <w:lang w:val="en-US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2D6B6CE2761F4F46B1039F59C4424A4F">
    <w:name w:val="2D6B6CE2761F4F46B1039F59C4424A4F"/>
    <w:rsid w:val="009A3D99"/>
  </w:style>
  <w:style w:type="paragraph" w:customStyle="1" w:styleId="CD63DE21A7CD6349B0E05DBFD6C8D875">
    <w:name w:val="CD63DE21A7CD6349B0E05DBFD6C8D875"/>
    <w:rsid w:val="009A3D99"/>
  </w:style>
  <w:style w:type="paragraph" w:customStyle="1" w:styleId="0F753F519DFF53458999CC068A04171B">
    <w:name w:val="0F753F519DFF53458999CC068A04171B"/>
    <w:rsid w:val="009A3D99"/>
  </w:style>
  <w:style w:type="paragraph" w:customStyle="1" w:styleId="E142647B3A58004E9EF2DED8D9F25F27">
    <w:name w:val="E142647B3A58004E9EF2DED8D9F25F27"/>
    <w:rsid w:val="009A3D99"/>
  </w:style>
  <w:style w:type="paragraph" w:customStyle="1" w:styleId="8AD702050FDD1F4482E4D8FE3E0D0792">
    <w:name w:val="8AD702050FDD1F4482E4D8FE3E0D0792"/>
    <w:rsid w:val="009A3D99"/>
  </w:style>
  <w:style w:type="paragraph" w:customStyle="1" w:styleId="92CDA452A661114ABE26144A60D4D1BC">
    <w:name w:val="92CDA452A661114ABE26144A60D4D1BC"/>
    <w:rsid w:val="009A3D99"/>
  </w:style>
  <w:style w:type="character" w:styleId="Tekstvantijdelijkeaanduiding">
    <w:name w:val="Placeholder Text"/>
    <w:basedOn w:val="Standaardalinea-lettertype"/>
    <w:uiPriority w:val="99"/>
    <w:semiHidden/>
    <w:rsid w:val="009A3D99"/>
    <w:rPr>
      <w:color w:val="808080"/>
    </w:rPr>
  </w:style>
  <w:style w:type="paragraph" w:styleId="Titel">
    <w:name w:val="Title"/>
    <w:basedOn w:val="Standaard"/>
    <w:next w:val="Standaard"/>
    <w:link w:val="TitelChar"/>
    <w:uiPriority w:val="10"/>
    <w:qFormat/>
    <w:rsid w:val="009A3D99"/>
    <w:pPr>
      <w:spacing w:line="276" w:lineRule="auto"/>
      <w:jc w:val="right"/>
    </w:pPr>
    <w:rPr>
      <w:rFonts w:ascii="Arial" w:eastAsiaTheme="minorHAnsi" w:hAnsi="Arial" w:cs="Arial"/>
      <w:sz w:val="48"/>
      <w:szCs w:val="48"/>
      <w:lang w:eastAsia="en-US"/>
    </w:rPr>
  </w:style>
  <w:style w:type="character" w:customStyle="1" w:styleId="TitelChar">
    <w:name w:val="Titel Char"/>
    <w:basedOn w:val="Standaardalinea-lettertype"/>
    <w:link w:val="Titel"/>
    <w:uiPriority w:val="10"/>
    <w:rsid w:val="009A3D99"/>
    <w:rPr>
      <w:rFonts w:ascii="Arial" w:eastAsiaTheme="minorHAnsi" w:hAnsi="Arial" w:cs="Arial"/>
      <w:sz w:val="48"/>
      <w:szCs w:val="48"/>
      <w:lang w:eastAsia="en-US"/>
    </w:rPr>
  </w:style>
  <w:style w:type="paragraph" w:customStyle="1" w:styleId="59B3D65CF6B5754EBECA1AFFCCB1D2A6">
    <w:name w:val="59B3D65CF6B5754EBECA1AFFCCB1D2A6"/>
    <w:rsid w:val="009A3D99"/>
  </w:style>
  <w:style w:type="character" w:customStyle="1" w:styleId="Kop4Char">
    <w:name w:val="Kop 4 Char"/>
    <w:basedOn w:val="Standaardalinea-lettertype"/>
    <w:link w:val="Kop4"/>
    <w:rsid w:val="009A3D99"/>
    <w:rPr>
      <w:rFonts w:ascii="Arial" w:eastAsiaTheme="minorHAnsi" w:hAnsi="Arial" w:cs="Arial"/>
      <w:b/>
      <w:color w:val="E36C0A"/>
      <w:sz w:val="22"/>
      <w:szCs w:val="22"/>
      <w:lang w:val="en-US" w:eastAsia="en-US"/>
    </w:rPr>
  </w:style>
  <w:style w:type="paragraph" w:customStyle="1" w:styleId="91ED54ECDE54524B9B23D9F7DC8AE29E">
    <w:name w:val="91ED54ECDE54524B9B23D9F7DC8AE29E"/>
    <w:rsid w:val="009A3D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7775CF2-FE01-4F50-A0B8-62C990AF6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1306</Words>
  <Characters>7187</Characters>
  <Application>Microsoft Office Word</Application>
  <DocSecurity>0</DocSecurity>
  <Lines>59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UA</Company>
  <LinksUpToDate>false</LinksUpToDate>
  <CharactersWithSpaces>8477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Gobat</dc:creator>
  <cp:lastModifiedBy>Peuteman Karen</cp:lastModifiedBy>
  <cp:revision>1</cp:revision>
  <dcterms:created xsi:type="dcterms:W3CDTF">2017-06-06T12:02:00Z</dcterms:created>
  <dcterms:modified xsi:type="dcterms:W3CDTF">2017-06-06T12:02:00Z</dcterms:modified>
</cp:coreProperties>
</file>